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1"/>
        <w:gridCol w:w="4663"/>
      </w:tblGrid>
      <w:tr w:rsidR="00A357CC" w14:paraId="55C975F1" w14:textId="77777777" w:rsidTr="00A357CC">
        <w:tc>
          <w:tcPr>
            <w:tcW w:w="4747" w:type="dxa"/>
          </w:tcPr>
          <w:p w14:paraId="55C975EF" w14:textId="77777777" w:rsidR="00A357CC" w:rsidRPr="00772CF5" w:rsidRDefault="00A357CC" w:rsidP="008D4DA5">
            <w:pPr>
              <w:tabs>
                <w:tab w:val="left" w:pos="5387"/>
              </w:tabs>
              <w:spacing w:after="0" w:line="240" w:lineRule="auto"/>
              <w:jc w:val="right"/>
              <w:rPr>
                <w:rFonts w:ascii="Times New Roman" w:hAnsi="Times New Roman"/>
                <w:b/>
                <w:spacing w:val="20"/>
                <w:sz w:val="24"/>
                <w:szCs w:val="24"/>
              </w:rPr>
            </w:pPr>
          </w:p>
        </w:tc>
        <w:tc>
          <w:tcPr>
            <w:tcW w:w="4747" w:type="dxa"/>
          </w:tcPr>
          <w:p w14:paraId="55C975F0" w14:textId="77777777" w:rsidR="00A357CC" w:rsidRPr="00772CF5" w:rsidRDefault="00A357CC" w:rsidP="00A357CC">
            <w:pPr>
              <w:tabs>
                <w:tab w:val="left" w:pos="5387"/>
              </w:tabs>
              <w:spacing w:after="0" w:line="240" w:lineRule="auto"/>
              <w:jc w:val="right"/>
              <w:rPr>
                <w:rFonts w:ascii="Times New Roman" w:hAnsi="Times New Roman"/>
                <w:b/>
                <w:spacing w:val="20"/>
                <w:sz w:val="24"/>
                <w:szCs w:val="24"/>
              </w:rPr>
            </w:pPr>
            <w:r w:rsidRPr="00C27542">
              <w:rPr>
                <w:rFonts w:ascii="Times New Roman" w:hAnsi="Times New Roman"/>
                <w:b/>
                <w:color w:val="808080" w:themeColor="background1" w:themeShade="80"/>
                <w:spacing w:val="20"/>
                <w:sz w:val="24"/>
                <w:szCs w:val="24"/>
              </w:rPr>
              <w:t>EELNÕU</w:t>
            </w:r>
          </w:p>
        </w:tc>
      </w:tr>
      <w:tr w:rsidR="00A357CC" w14:paraId="55C975F4" w14:textId="77777777" w:rsidTr="00A357CC">
        <w:tc>
          <w:tcPr>
            <w:tcW w:w="4747" w:type="dxa"/>
          </w:tcPr>
          <w:p w14:paraId="55C975F2" w14:textId="77777777" w:rsidR="00A357CC" w:rsidRPr="00772CF5" w:rsidRDefault="00A357CC" w:rsidP="008D4DA5">
            <w:pPr>
              <w:tabs>
                <w:tab w:val="left" w:pos="5387"/>
              </w:tabs>
              <w:spacing w:after="0" w:line="240" w:lineRule="auto"/>
              <w:jc w:val="right"/>
              <w:rPr>
                <w:rFonts w:ascii="Times New Roman" w:hAnsi="Times New Roman"/>
                <w:b/>
                <w:spacing w:val="20"/>
                <w:sz w:val="24"/>
                <w:szCs w:val="24"/>
              </w:rPr>
            </w:pPr>
          </w:p>
        </w:tc>
        <w:tc>
          <w:tcPr>
            <w:tcW w:w="4747" w:type="dxa"/>
          </w:tcPr>
          <w:p w14:paraId="55C975F3" w14:textId="7034E0B6" w:rsidR="00A357CC" w:rsidRPr="00A357CC" w:rsidRDefault="00A357CC" w:rsidP="00A357CC">
            <w:pPr>
              <w:tabs>
                <w:tab w:val="left" w:pos="5387"/>
              </w:tabs>
              <w:spacing w:after="0" w:line="240" w:lineRule="auto"/>
              <w:jc w:val="right"/>
              <w:rPr>
                <w:rFonts w:ascii="Times New Roman" w:hAnsi="Times New Roman"/>
                <w:spacing w:val="20"/>
                <w:sz w:val="24"/>
                <w:szCs w:val="24"/>
              </w:rPr>
            </w:pPr>
            <w:r w:rsidRPr="00CD0CFF">
              <w:rPr>
                <w:rFonts w:ascii="Times New Roman" w:hAnsi="Times New Roman"/>
                <w:spacing w:val="20"/>
                <w:sz w:val="24"/>
                <w:szCs w:val="24"/>
              </w:rPr>
              <w:fldChar w:fldCharType="begin"/>
            </w:r>
            <w:r w:rsidR="001B096F">
              <w:rPr>
                <w:rFonts w:ascii="Times New Roman" w:hAnsi="Times New Roman"/>
                <w:spacing w:val="20"/>
                <w:sz w:val="24"/>
                <w:szCs w:val="24"/>
              </w:rPr>
              <w:instrText xml:space="preserve"> delta_regDateTime  \* MERGEFORMAT</w:instrText>
            </w:r>
            <w:r w:rsidRPr="00CD0CFF">
              <w:rPr>
                <w:rFonts w:ascii="Times New Roman" w:hAnsi="Times New Roman"/>
                <w:spacing w:val="20"/>
                <w:sz w:val="24"/>
                <w:szCs w:val="24"/>
              </w:rPr>
              <w:fldChar w:fldCharType="separate"/>
            </w:r>
            <w:r w:rsidR="001B096F">
              <w:rPr>
                <w:rFonts w:ascii="Times New Roman" w:hAnsi="Times New Roman"/>
                <w:spacing w:val="20"/>
                <w:sz w:val="24"/>
                <w:szCs w:val="24"/>
              </w:rPr>
              <w:t>19.09.2024</w:t>
            </w:r>
            <w:r w:rsidRPr="00CD0CFF">
              <w:rPr>
                <w:rFonts w:ascii="Times New Roman" w:hAnsi="Times New Roman"/>
                <w:spacing w:val="20"/>
                <w:sz w:val="24"/>
                <w:szCs w:val="24"/>
              </w:rPr>
              <w:fldChar w:fldCharType="end"/>
            </w:r>
            <w:r w:rsidRPr="00CD0CFF">
              <w:rPr>
                <w:rFonts w:ascii="Times New Roman" w:hAnsi="Times New Roman"/>
                <w:spacing w:val="20"/>
                <w:sz w:val="24"/>
                <w:szCs w:val="24"/>
              </w:rPr>
              <w:t xml:space="preserve"> nr </w:t>
            </w:r>
            <w:r w:rsidRPr="00CD0CFF">
              <w:rPr>
                <w:rFonts w:ascii="Times New Roman" w:hAnsi="Times New Roman"/>
                <w:spacing w:val="20"/>
                <w:sz w:val="24"/>
                <w:szCs w:val="24"/>
              </w:rPr>
              <w:fldChar w:fldCharType="begin"/>
            </w:r>
            <w:r w:rsidR="001B096F">
              <w:rPr>
                <w:rFonts w:ascii="Times New Roman" w:hAnsi="Times New Roman"/>
                <w:spacing w:val="20"/>
                <w:sz w:val="24"/>
                <w:szCs w:val="24"/>
              </w:rPr>
              <w:instrText xml:space="preserve"> delta_regNumber  \* MERGEFORMAT</w:instrText>
            </w:r>
            <w:r w:rsidRPr="00CD0CFF">
              <w:rPr>
                <w:rFonts w:ascii="Times New Roman" w:hAnsi="Times New Roman"/>
                <w:spacing w:val="20"/>
                <w:sz w:val="24"/>
                <w:szCs w:val="24"/>
              </w:rPr>
              <w:fldChar w:fldCharType="separate"/>
            </w:r>
            <w:r w:rsidR="001B096F">
              <w:rPr>
                <w:rFonts w:ascii="Times New Roman" w:hAnsi="Times New Roman"/>
                <w:spacing w:val="20"/>
                <w:sz w:val="24"/>
                <w:szCs w:val="24"/>
              </w:rPr>
              <w:t>1-4/24/196</w:t>
            </w:r>
            <w:r w:rsidRPr="00CD0CFF">
              <w:rPr>
                <w:rFonts w:ascii="Times New Roman" w:hAnsi="Times New Roman"/>
                <w:spacing w:val="20"/>
                <w:sz w:val="24"/>
                <w:szCs w:val="24"/>
              </w:rPr>
              <w:fldChar w:fldCharType="end"/>
            </w:r>
          </w:p>
        </w:tc>
      </w:tr>
      <w:tr w:rsidR="00A357CC" w14:paraId="55C975F7" w14:textId="77777777" w:rsidTr="00A357CC">
        <w:tc>
          <w:tcPr>
            <w:tcW w:w="4747" w:type="dxa"/>
          </w:tcPr>
          <w:p w14:paraId="55C975F5" w14:textId="77777777" w:rsidR="00A357CC" w:rsidRPr="00772CF5" w:rsidRDefault="00A357CC" w:rsidP="008D4DA5">
            <w:pPr>
              <w:tabs>
                <w:tab w:val="left" w:pos="5387"/>
              </w:tabs>
              <w:spacing w:after="0" w:line="240" w:lineRule="auto"/>
              <w:jc w:val="right"/>
              <w:rPr>
                <w:rFonts w:ascii="Times New Roman" w:hAnsi="Times New Roman"/>
                <w:b/>
                <w:spacing w:val="20"/>
                <w:sz w:val="24"/>
                <w:szCs w:val="24"/>
              </w:rPr>
            </w:pPr>
          </w:p>
        </w:tc>
        <w:tc>
          <w:tcPr>
            <w:tcW w:w="4747" w:type="dxa"/>
          </w:tcPr>
          <w:p w14:paraId="55C975F6" w14:textId="77777777" w:rsidR="00A357CC" w:rsidRPr="00772CF5" w:rsidRDefault="00A357CC" w:rsidP="008D4DA5">
            <w:pPr>
              <w:tabs>
                <w:tab w:val="left" w:pos="5387"/>
              </w:tabs>
              <w:spacing w:after="0" w:line="240" w:lineRule="auto"/>
              <w:jc w:val="right"/>
              <w:rPr>
                <w:rFonts w:ascii="Times New Roman" w:hAnsi="Times New Roman"/>
                <w:b/>
                <w:spacing w:val="20"/>
                <w:sz w:val="24"/>
                <w:szCs w:val="24"/>
              </w:rPr>
            </w:pPr>
          </w:p>
        </w:tc>
      </w:tr>
      <w:tr w:rsidR="00A357CC" w14:paraId="55C975FA" w14:textId="77777777" w:rsidTr="00A357CC">
        <w:tc>
          <w:tcPr>
            <w:tcW w:w="4747" w:type="dxa"/>
          </w:tcPr>
          <w:p w14:paraId="55C975F8" w14:textId="77777777" w:rsidR="00A357CC" w:rsidRPr="00772CF5" w:rsidRDefault="00A357CC" w:rsidP="00A357CC">
            <w:pPr>
              <w:tabs>
                <w:tab w:val="left" w:pos="5387"/>
              </w:tabs>
              <w:spacing w:after="0" w:line="240" w:lineRule="auto"/>
              <w:rPr>
                <w:rFonts w:ascii="Times New Roman" w:hAnsi="Times New Roman"/>
                <w:color w:val="808080" w:themeColor="background1" w:themeShade="80"/>
                <w:spacing w:val="20"/>
                <w:sz w:val="24"/>
                <w:szCs w:val="24"/>
              </w:rPr>
            </w:pPr>
            <w:r w:rsidRPr="00772CF5">
              <w:rPr>
                <w:rFonts w:ascii="Times New Roman" w:hAnsi="Times New Roman"/>
                <w:color w:val="808080" w:themeColor="background1" w:themeShade="80"/>
                <w:spacing w:val="20"/>
                <w:sz w:val="24"/>
                <w:szCs w:val="24"/>
              </w:rPr>
              <w:t>TAPA VALLAV</w:t>
            </w:r>
            <w:r w:rsidR="00E13B6E">
              <w:rPr>
                <w:rFonts w:ascii="Times New Roman" w:hAnsi="Times New Roman"/>
                <w:color w:val="808080" w:themeColor="background1" w:themeShade="80"/>
                <w:spacing w:val="20"/>
                <w:sz w:val="24"/>
                <w:szCs w:val="24"/>
              </w:rPr>
              <w:t>O</w:t>
            </w:r>
            <w:r w:rsidRPr="00772CF5">
              <w:rPr>
                <w:rFonts w:ascii="Times New Roman" w:hAnsi="Times New Roman"/>
                <w:color w:val="808080" w:themeColor="background1" w:themeShade="80"/>
                <w:spacing w:val="20"/>
                <w:sz w:val="24"/>
                <w:szCs w:val="24"/>
              </w:rPr>
              <w:t>LI</w:t>
            </w:r>
            <w:r w:rsidR="00E13B6E">
              <w:rPr>
                <w:rFonts w:ascii="Times New Roman" w:hAnsi="Times New Roman"/>
                <w:color w:val="808080" w:themeColor="background1" w:themeShade="80"/>
                <w:spacing w:val="20"/>
                <w:sz w:val="24"/>
                <w:szCs w:val="24"/>
              </w:rPr>
              <w:t>KOGU</w:t>
            </w:r>
          </w:p>
        </w:tc>
        <w:tc>
          <w:tcPr>
            <w:tcW w:w="4747" w:type="dxa"/>
          </w:tcPr>
          <w:p w14:paraId="55C975F9" w14:textId="77777777" w:rsidR="00A357CC" w:rsidRPr="00772CF5" w:rsidRDefault="00A357CC" w:rsidP="008D4DA5">
            <w:pPr>
              <w:tabs>
                <w:tab w:val="left" w:pos="5387"/>
              </w:tabs>
              <w:spacing w:after="0" w:line="240" w:lineRule="auto"/>
              <w:jc w:val="right"/>
              <w:rPr>
                <w:rFonts w:ascii="Times New Roman" w:hAnsi="Times New Roman"/>
                <w:b/>
                <w:spacing w:val="20"/>
                <w:sz w:val="24"/>
                <w:szCs w:val="24"/>
              </w:rPr>
            </w:pPr>
          </w:p>
        </w:tc>
      </w:tr>
      <w:tr w:rsidR="00A357CC" w14:paraId="55C975FD" w14:textId="77777777" w:rsidTr="00A357CC">
        <w:tc>
          <w:tcPr>
            <w:tcW w:w="4747" w:type="dxa"/>
          </w:tcPr>
          <w:p w14:paraId="55C975FB" w14:textId="77777777" w:rsidR="00A357CC" w:rsidRPr="00772CF5" w:rsidRDefault="00E13B6E" w:rsidP="00A357CC">
            <w:pPr>
              <w:tabs>
                <w:tab w:val="left" w:pos="5387"/>
              </w:tabs>
              <w:spacing w:after="0" w:line="240" w:lineRule="auto"/>
              <w:rPr>
                <w:rFonts w:ascii="Times New Roman" w:hAnsi="Times New Roman"/>
                <w:color w:val="808080" w:themeColor="background1" w:themeShade="80"/>
                <w:spacing w:val="20"/>
                <w:sz w:val="24"/>
                <w:szCs w:val="24"/>
              </w:rPr>
            </w:pPr>
            <w:r>
              <w:rPr>
                <w:rFonts w:ascii="Times New Roman" w:hAnsi="Times New Roman"/>
                <w:color w:val="808080" w:themeColor="background1" w:themeShade="80"/>
                <w:spacing w:val="20"/>
                <w:sz w:val="24"/>
                <w:szCs w:val="24"/>
              </w:rPr>
              <w:t>MÄÄRUS</w:t>
            </w:r>
          </w:p>
        </w:tc>
        <w:tc>
          <w:tcPr>
            <w:tcW w:w="4747" w:type="dxa"/>
          </w:tcPr>
          <w:p w14:paraId="55C975FC" w14:textId="77777777" w:rsidR="00A357CC" w:rsidRPr="00772CF5" w:rsidRDefault="00A357CC" w:rsidP="008D4DA5">
            <w:pPr>
              <w:tabs>
                <w:tab w:val="left" w:pos="5387"/>
              </w:tabs>
              <w:spacing w:after="0" w:line="240" w:lineRule="auto"/>
              <w:jc w:val="right"/>
              <w:rPr>
                <w:rFonts w:ascii="Times New Roman" w:hAnsi="Times New Roman"/>
                <w:b/>
                <w:spacing w:val="20"/>
                <w:sz w:val="24"/>
                <w:szCs w:val="24"/>
              </w:rPr>
            </w:pPr>
          </w:p>
        </w:tc>
      </w:tr>
    </w:tbl>
    <w:p w14:paraId="55C975FE" w14:textId="77777777" w:rsidR="0058227E" w:rsidRDefault="0058227E" w:rsidP="00AF1DE6">
      <w:pPr>
        <w:tabs>
          <w:tab w:val="left" w:pos="5387"/>
        </w:tabs>
        <w:spacing w:after="0" w:line="240" w:lineRule="auto"/>
        <w:rPr>
          <w:rFonts w:ascii="Times New Roman" w:hAnsi="Times New Roman"/>
          <w:sz w:val="24"/>
          <w:szCs w:val="24"/>
        </w:rPr>
      </w:pPr>
    </w:p>
    <w:p w14:paraId="55C975FF" w14:textId="77777777" w:rsidR="00A357CC" w:rsidRDefault="00A357CC" w:rsidP="00AF1DE6">
      <w:pPr>
        <w:tabs>
          <w:tab w:val="left" w:pos="5387"/>
        </w:tabs>
        <w:spacing w:after="0" w:line="240" w:lineRule="auto"/>
        <w:rPr>
          <w:rFonts w:ascii="Times New Roman" w:hAnsi="Times New Roman"/>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47"/>
        <w:gridCol w:w="4607"/>
      </w:tblGrid>
      <w:tr w:rsidR="00772CF5" w14:paraId="55C97601" w14:textId="77777777" w:rsidTr="00772CF5">
        <w:trPr>
          <w:gridAfter w:val="1"/>
          <w:wAfter w:w="4607" w:type="dxa"/>
        </w:trPr>
        <w:tc>
          <w:tcPr>
            <w:tcW w:w="4747" w:type="dxa"/>
          </w:tcPr>
          <w:p w14:paraId="55C97600" w14:textId="77777777" w:rsidR="00772CF5" w:rsidRDefault="00772CF5" w:rsidP="00AF1DE6">
            <w:pPr>
              <w:tabs>
                <w:tab w:val="left" w:pos="5387"/>
              </w:tabs>
              <w:spacing w:after="0" w:line="240" w:lineRule="auto"/>
              <w:rPr>
                <w:rFonts w:ascii="Times New Roman" w:hAnsi="Times New Roman"/>
                <w:sz w:val="24"/>
                <w:szCs w:val="24"/>
              </w:rPr>
            </w:pPr>
            <w:r w:rsidRPr="00AF1DE6">
              <w:rPr>
                <w:rFonts w:ascii="Times New Roman" w:hAnsi="Times New Roman"/>
                <w:sz w:val="24"/>
                <w:szCs w:val="24"/>
              </w:rPr>
              <w:t>Tapa</w:t>
            </w:r>
          </w:p>
        </w:tc>
      </w:tr>
      <w:tr w:rsidR="00772CF5" w14:paraId="55C97603" w14:textId="77777777" w:rsidTr="00772CF5">
        <w:trPr>
          <w:gridAfter w:val="1"/>
          <w:wAfter w:w="4607" w:type="dxa"/>
        </w:trPr>
        <w:tc>
          <w:tcPr>
            <w:tcW w:w="4747" w:type="dxa"/>
          </w:tcPr>
          <w:p w14:paraId="55C97602" w14:textId="77777777" w:rsidR="00772CF5" w:rsidRDefault="00772CF5" w:rsidP="00AF1DE6">
            <w:pPr>
              <w:tabs>
                <w:tab w:val="left" w:pos="5387"/>
              </w:tabs>
              <w:spacing w:after="0" w:line="240" w:lineRule="auto"/>
              <w:rPr>
                <w:rFonts w:ascii="Times New Roman" w:hAnsi="Times New Roman"/>
                <w:sz w:val="24"/>
                <w:szCs w:val="24"/>
              </w:rPr>
            </w:pPr>
          </w:p>
        </w:tc>
      </w:tr>
      <w:tr w:rsidR="00772CF5" w14:paraId="55C97605" w14:textId="77777777" w:rsidTr="00772CF5">
        <w:trPr>
          <w:gridAfter w:val="1"/>
          <w:wAfter w:w="4607" w:type="dxa"/>
        </w:trPr>
        <w:tc>
          <w:tcPr>
            <w:tcW w:w="4747" w:type="dxa"/>
          </w:tcPr>
          <w:p w14:paraId="55C97604" w14:textId="77777777" w:rsidR="00772CF5" w:rsidRDefault="00772CF5" w:rsidP="00AF1DE6">
            <w:pPr>
              <w:tabs>
                <w:tab w:val="left" w:pos="5387"/>
              </w:tabs>
              <w:spacing w:after="0" w:line="240" w:lineRule="auto"/>
              <w:rPr>
                <w:rFonts w:ascii="Times New Roman" w:hAnsi="Times New Roman"/>
                <w:sz w:val="24"/>
                <w:szCs w:val="24"/>
              </w:rPr>
            </w:pPr>
          </w:p>
        </w:tc>
      </w:tr>
      <w:tr w:rsidR="00772CF5" w14:paraId="55C97607" w14:textId="77777777" w:rsidTr="00772CF5">
        <w:trPr>
          <w:gridAfter w:val="1"/>
          <w:wAfter w:w="4607" w:type="dxa"/>
        </w:trPr>
        <w:tc>
          <w:tcPr>
            <w:tcW w:w="4747" w:type="dxa"/>
          </w:tcPr>
          <w:p w14:paraId="55C97606" w14:textId="3150DF98" w:rsidR="00772CF5" w:rsidRPr="00A357CC" w:rsidRDefault="00772CF5" w:rsidP="00772CF5">
            <w:pPr>
              <w:tabs>
                <w:tab w:val="left" w:pos="5387"/>
              </w:tabs>
              <w:spacing w:after="0" w:line="240" w:lineRule="auto"/>
              <w:rPr>
                <w:rFonts w:ascii="Times New Roman" w:hAnsi="Times New Roman"/>
                <w:b/>
                <w:sz w:val="24"/>
                <w:szCs w:val="24"/>
              </w:rPr>
            </w:pPr>
            <w:r>
              <w:rPr>
                <w:rFonts w:ascii="Times New Roman" w:hAnsi="Times New Roman"/>
                <w:b/>
                <w:sz w:val="24"/>
                <w:szCs w:val="24"/>
              </w:rPr>
              <w:fldChar w:fldCharType="begin"/>
            </w:r>
            <w:r w:rsidR="001B096F">
              <w:rPr>
                <w:rFonts w:ascii="Times New Roman" w:hAnsi="Times New Roman"/>
                <w:b/>
                <w:sz w:val="24"/>
                <w:szCs w:val="24"/>
              </w:rPr>
              <w:instrText xml:space="preserve"> delta_docName  \* MERGEFORMAT</w:instrText>
            </w:r>
            <w:r>
              <w:rPr>
                <w:rFonts w:ascii="Times New Roman" w:hAnsi="Times New Roman"/>
                <w:b/>
                <w:sz w:val="24"/>
                <w:szCs w:val="24"/>
              </w:rPr>
              <w:fldChar w:fldCharType="separate"/>
            </w:r>
            <w:r w:rsidR="001B096F">
              <w:rPr>
                <w:rFonts w:ascii="Times New Roman" w:hAnsi="Times New Roman"/>
                <w:b/>
                <w:sz w:val="24"/>
                <w:szCs w:val="24"/>
              </w:rPr>
              <w:t xml:space="preserve">Tapa valla arengukava 2023-2035 ja eelarvestrateegia  2025-2029 </w:t>
            </w:r>
            <w:r>
              <w:rPr>
                <w:rFonts w:ascii="Times New Roman" w:hAnsi="Times New Roman"/>
                <w:b/>
                <w:sz w:val="24"/>
                <w:szCs w:val="24"/>
              </w:rPr>
              <w:fldChar w:fldCharType="end"/>
            </w:r>
            <w:r>
              <w:rPr>
                <w:rFonts w:ascii="Times New Roman" w:hAnsi="Times New Roman"/>
                <w:b/>
                <w:sz w:val="24"/>
                <w:szCs w:val="24"/>
              </w:rPr>
              <w:t xml:space="preserve"> </w:t>
            </w:r>
          </w:p>
        </w:tc>
      </w:tr>
      <w:tr w:rsidR="00772CF5" w14:paraId="55C9760A" w14:textId="77777777" w:rsidTr="00772CF5">
        <w:trPr>
          <w:gridAfter w:val="1"/>
          <w:wAfter w:w="4607" w:type="dxa"/>
        </w:trPr>
        <w:tc>
          <w:tcPr>
            <w:tcW w:w="4747" w:type="dxa"/>
          </w:tcPr>
          <w:p w14:paraId="55C97608" w14:textId="77777777" w:rsidR="00772CF5" w:rsidRDefault="00772CF5" w:rsidP="00AF1DE6">
            <w:pPr>
              <w:tabs>
                <w:tab w:val="left" w:pos="5387"/>
              </w:tabs>
              <w:spacing w:after="0" w:line="240" w:lineRule="auto"/>
              <w:rPr>
                <w:rFonts w:ascii="Times New Roman" w:hAnsi="Times New Roman"/>
                <w:sz w:val="24"/>
                <w:szCs w:val="24"/>
              </w:rPr>
            </w:pPr>
          </w:p>
          <w:p w14:paraId="55C97609" w14:textId="77777777" w:rsidR="00435C14" w:rsidRDefault="00435C14" w:rsidP="00AF1DE6">
            <w:pPr>
              <w:tabs>
                <w:tab w:val="left" w:pos="5387"/>
              </w:tabs>
              <w:spacing w:after="0" w:line="240" w:lineRule="auto"/>
              <w:rPr>
                <w:rFonts w:ascii="Times New Roman" w:hAnsi="Times New Roman"/>
                <w:sz w:val="24"/>
                <w:szCs w:val="24"/>
              </w:rPr>
            </w:pPr>
          </w:p>
        </w:tc>
      </w:tr>
      <w:tr w:rsidR="00C22B95" w14:paraId="55C9760C" w14:textId="77777777" w:rsidTr="00435C14">
        <w:tc>
          <w:tcPr>
            <w:tcW w:w="9354" w:type="dxa"/>
            <w:gridSpan w:val="2"/>
          </w:tcPr>
          <w:p w14:paraId="55C9760B" w14:textId="27D14C95" w:rsidR="00C22B95" w:rsidRDefault="00C22B95" w:rsidP="00C22B95">
            <w:pPr>
              <w:tabs>
                <w:tab w:val="left" w:pos="5387"/>
              </w:tabs>
              <w:spacing w:after="0" w:line="240" w:lineRule="auto"/>
              <w:jc w:val="both"/>
              <w:rPr>
                <w:rFonts w:ascii="Times New Roman" w:hAnsi="Times New Roman"/>
                <w:sz w:val="24"/>
                <w:szCs w:val="24"/>
              </w:rPr>
            </w:pPr>
            <w:r w:rsidRPr="00281EF9">
              <w:rPr>
                <w:rFonts w:ascii="Times New Roman" w:hAnsi="Times New Roman"/>
                <w:sz w:val="24"/>
                <w:szCs w:val="24"/>
              </w:rPr>
              <w:t>Määrus kehtestatakse kohaliku omavalitsuse korralduse seaduse § 22 lõike 1 punkti 7</w:t>
            </w:r>
            <w:r w:rsidRPr="00281EF9">
              <w:rPr>
                <w:rFonts w:ascii="Times New Roman" w:hAnsi="Times New Roman"/>
                <w:sz w:val="24"/>
                <w:szCs w:val="24"/>
                <w:vertAlign w:val="superscript"/>
              </w:rPr>
              <w:t xml:space="preserve"> </w:t>
            </w:r>
            <w:r w:rsidRPr="00281EF9">
              <w:rPr>
                <w:rFonts w:ascii="Times New Roman" w:hAnsi="Times New Roman"/>
                <w:sz w:val="24"/>
                <w:szCs w:val="24"/>
              </w:rPr>
              <w:t>ja § 37</w:t>
            </w:r>
            <w:r w:rsidRPr="00281EF9">
              <w:rPr>
                <w:rFonts w:ascii="Times New Roman" w:hAnsi="Times New Roman"/>
                <w:sz w:val="24"/>
                <w:szCs w:val="24"/>
                <w:vertAlign w:val="superscript"/>
              </w:rPr>
              <w:t>2</w:t>
            </w:r>
            <w:r w:rsidRPr="00281EF9">
              <w:rPr>
                <w:rFonts w:ascii="Times New Roman" w:hAnsi="Times New Roman"/>
                <w:sz w:val="24"/>
                <w:szCs w:val="24"/>
              </w:rPr>
              <w:t xml:space="preserve"> lg 3 ja 7, Tapa Vallavolikogu 30.09.2019 määruse nr 66 „Arengukava ja eelarvestrateegia koostamise ja muutmise kord “ § 5 lg 1 ning Tapa Vallavolikogu 28.03.2018 määruse nr 12 „Tapa valla põhimäärus“ § 72 lg 8 alusel</w:t>
            </w:r>
            <w:r>
              <w:rPr>
                <w:rFonts w:ascii="Times New Roman" w:hAnsi="Times New Roman"/>
                <w:sz w:val="24"/>
                <w:szCs w:val="24"/>
              </w:rPr>
              <w:t>.</w:t>
            </w:r>
          </w:p>
        </w:tc>
      </w:tr>
      <w:tr w:rsidR="00C22B95" w14:paraId="55C9760E" w14:textId="77777777" w:rsidTr="00435C14">
        <w:tc>
          <w:tcPr>
            <w:tcW w:w="9354" w:type="dxa"/>
            <w:gridSpan w:val="2"/>
          </w:tcPr>
          <w:p w14:paraId="2373C5ED" w14:textId="77777777" w:rsidR="00C22B95" w:rsidRDefault="00C22B95" w:rsidP="00C22B95">
            <w:pPr>
              <w:autoSpaceDE w:val="0"/>
              <w:autoSpaceDN w:val="0"/>
              <w:adjustRightInd w:val="0"/>
              <w:spacing w:after="0" w:line="240" w:lineRule="auto"/>
              <w:jc w:val="both"/>
              <w:rPr>
                <w:rFonts w:ascii="Times New Roman" w:hAnsi="Times New Roman"/>
                <w:b/>
                <w:bCs/>
                <w:color w:val="000000"/>
                <w:sz w:val="24"/>
                <w:szCs w:val="24"/>
              </w:rPr>
            </w:pPr>
          </w:p>
          <w:p w14:paraId="2B7CC7C0" w14:textId="1714784D" w:rsidR="00C22B95" w:rsidRDefault="00C22B95" w:rsidP="00C22B95">
            <w:pPr>
              <w:autoSpaceDE w:val="0"/>
              <w:autoSpaceDN w:val="0"/>
              <w:adjustRightInd w:val="0"/>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 1. Tapa valla arengukava 2023-2035 ja eelarvestrateegia 202</w:t>
            </w:r>
            <w:r w:rsidR="0084690A">
              <w:rPr>
                <w:rFonts w:ascii="Times New Roman" w:hAnsi="Times New Roman"/>
                <w:b/>
                <w:bCs/>
                <w:color w:val="000000"/>
                <w:sz w:val="24"/>
                <w:szCs w:val="24"/>
              </w:rPr>
              <w:t>5</w:t>
            </w:r>
            <w:r>
              <w:rPr>
                <w:rFonts w:ascii="Times New Roman" w:hAnsi="Times New Roman"/>
                <w:b/>
                <w:bCs/>
                <w:color w:val="000000"/>
                <w:sz w:val="24"/>
                <w:szCs w:val="24"/>
              </w:rPr>
              <w:t>-202</w:t>
            </w:r>
            <w:r w:rsidR="0084690A">
              <w:rPr>
                <w:rFonts w:ascii="Times New Roman" w:hAnsi="Times New Roman"/>
                <w:b/>
                <w:bCs/>
                <w:color w:val="000000"/>
                <w:sz w:val="24"/>
                <w:szCs w:val="24"/>
              </w:rPr>
              <w:t>9</w:t>
            </w:r>
            <w:r>
              <w:rPr>
                <w:rFonts w:ascii="Times New Roman" w:hAnsi="Times New Roman"/>
                <w:b/>
                <w:bCs/>
                <w:color w:val="000000"/>
                <w:sz w:val="24"/>
                <w:szCs w:val="24"/>
              </w:rPr>
              <w:t xml:space="preserve"> vastu võtmine</w:t>
            </w:r>
          </w:p>
          <w:p w14:paraId="6D07E27F" w14:textId="77777777" w:rsidR="00C22B95" w:rsidRDefault="00C22B95" w:rsidP="00C22B95">
            <w:pPr>
              <w:autoSpaceDE w:val="0"/>
              <w:autoSpaceDN w:val="0"/>
              <w:adjustRightInd w:val="0"/>
              <w:spacing w:after="0" w:line="240" w:lineRule="auto"/>
              <w:jc w:val="both"/>
              <w:rPr>
                <w:rFonts w:ascii="Times New Roman" w:hAnsi="Times New Roman"/>
                <w:b/>
                <w:bCs/>
                <w:color w:val="000000"/>
                <w:sz w:val="24"/>
                <w:szCs w:val="24"/>
              </w:rPr>
            </w:pPr>
          </w:p>
          <w:p w14:paraId="6289027E" w14:textId="644D1173" w:rsidR="00C22B95" w:rsidRDefault="00C22B95" w:rsidP="00C22B95">
            <w:pPr>
              <w:autoSpaceDE w:val="0"/>
              <w:autoSpaceDN w:val="0"/>
              <w:adjustRightInd w:val="0"/>
              <w:jc w:val="both"/>
              <w:rPr>
                <w:color w:val="000000"/>
              </w:rPr>
            </w:pPr>
            <w:r>
              <w:rPr>
                <w:rFonts w:ascii="Times New Roman" w:hAnsi="Times New Roman"/>
                <w:color w:val="000000"/>
                <w:sz w:val="24"/>
                <w:szCs w:val="24"/>
              </w:rPr>
              <w:t xml:space="preserve">Võtta vastu </w:t>
            </w:r>
            <w:r w:rsidR="00526606" w:rsidRPr="00526606">
              <w:rPr>
                <w:rFonts w:ascii="Times New Roman" w:hAnsi="Times New Roman"/>
                <w:color w:val="000000"/>
                <w:sz w:val="24"/>
                <w:szCs w:val="24"/>
              </w:rPr>
              <w:t>uues redaktsioonis</w:t>
            </w:r>
            <w:r w:rsidR="00526606">
              <w:rPr>
                <w:rFonts w:ascii="Times New Roman" w:hAnsi="Times New Roman"/>
                <w:color w:val="000000"/>
                <w:sz w:val="24"/>
                <w:szCs w:val="24"/>
              </w:rPr>
              <w:t xml:space="preserve"> </w:t>
            </w:r>
            <w:r>
              <w:rPr>
                <w:rFonts w:ascii="Times New Roman" w:hAnsi="Times New Roman"/>
                <w:color w:val="000000"/>
                <w:sz w:val="24"/>
                <w:szCs w:val="24"/>
              </w:rPr>
              <w:t xml:space="preserve">Tapa valla arengukava 2023-2035 ja Tapa valla eelarvestrateegia 2025-2029 </w:t>
            </w:r>
            <w:r>
              <w:rPr>
                <w:rFonts w:ascii="Times New Roman" w:hAnsi="Times New Roman"/>
                <w:bCs/>
                <w:color w:val="000000"/>
                <w:sz w:val="24"/>
                <w:szCs w:val="24"/>
              </w:rPr>
              <w:t>vastavalt lisale.</w:t>
            </w:r>
          </w:p>
          <w:p w14:paraId="3D318C64" w14:textId="77777777" w:rsidR="00C22B95" w:rsidRDefault="00C22B95" w:rsidP="00C22B95">
            <w:pPr>
              <w:autoSpaceDE w:val="0"/>
              <w:autoSpaceDN w:val="0"/>
              <w:adjustRightInd w:val="0"/>
              <w:jc w:val="both"/>
              <w:rPr>
                <w:rFonts w:ascii="Times New Roman" w:hAnsi="Times New Roman"/>
                <w:b/>
                <w:bCs/>
                <w:sz w:val="24"/>
                <w:szCs w:val="24"/>
              </w:rPr>
            </w:pPr>
            <w:r>
              <w:rPr>
                <w:rFonts w:ascii="Times New Roman" w:hAnsi="Times New Roman"/>
                <w:b/>
                <w:bCs/>
                <w:sz w:val="24"/>
                <w:szCs w:val="24"/>
              </w:rPr>
              <w:t>§ 2. Rakendussätted</w:t>
            </w:r>
          </w:p>
          <w:p w14:paraId="30E3B265" w14:textId="77777777" w:rsidR="00C22B95" w:rsidRDefault="00C22B95" w:rsidP="00C22B95">
            <w:pPr>
              <w:autoSpaceDE w:val="0"/>
              <w:autoSpaceDN w:val="0"/>
              <w:adjustRightInd w:val="0"/>
              <w:jc w:val="both"/>
              <w:rPr>
                <w:rFonts w:ascii="Times New Roman" w:hAnsi="Times New Roman"/>
                <w:sz w:val="24"/>
                <w:szCs w:val="24"/>
              </w:rPr>
            </w:pPr>
            <w:r>
              <w:rPr>
                <w:rFonts w:ascii="Times New Roman" w:hAnsi="Times New Roman"/>
                <w:sz w:val="24"/>
                <w:szCs w:val="24"/>
              </w:rPr>
              <w:t>Tunnistada kehtetuks Tapa Vallavolikogu 29.02.2024</w:t>
            </w:r>
            <w:r>
              <w:t xml:space="preserve"> </w:t>
            </w:r>
            <w:r>
              <w:rPr>
                <w:rFonts w:ascii="Times New Roman" w:hAnsi="Times New Roman"/>
                <w:sz w:val="24"/>
                <w:szCs w:val="24"/>
              </w:rPr>
              <w:t>määrus nr 32 „Tapa valla arengukava 2023-2035 ja eelarvestrateegia 2024-2028“.</w:t>
            </w:r>
          </w:p>
          <w:p w14:paraId="2A3F8CE8" w14:textId="77777777" w:rsidR="00C22B95" w:rsidRDefault="00C22B95" w:rsidP="00C22B95">
            <w:pPr>
              <w:jc w:val="both"/>
              <w:rPr>
                <w:rFonts w:ascii="Times New Roman" w:eastAsia="Times New Roman" w:hAnsi="Times New Roman"/>
                <w:sz w:val="24"/>
                <w:szCs w:val="24"/>
                <w:lang w:eastAsia="et-EE"/>
              </w:rPr>
            </w:pPr>
            <w:r>
              <w:rPr>
                <w:rFonts w:ascii="Times New Roman" w:eastAsia="Times New Roman" w:hAnsi="Times New Roman"/>
                <w:b/>
                <w:bCs/>
                <w:sz w:val="24"/>
                <w:szCs w:val="24"/>
                <w:lang w:eastAsia="et-EE"/>
              </w:rPr>
              <w:t>§ 3.  Määruse jõustumine</w:t>
            </w:r>
          </w:p>
          <w:p w14:paraId="630D6D4E" w14:textId="77777777" w:rsidR="00C22B95" w:rsidRDefault="00C22B95" w:rsidP="00C22B95">
            <w:pPr>
              <w:spacing w:after="0" w:line="240" w:lineRule="auto"/>
              <w:jc w:val="both"/>
              <w:outlineLvl w:val="2"/>
              <w:rPr>
                <w:rFonts w:ascii="Times New Roman" w:eastAsia="Times New Roman" w:hAnsi="Times New Roman"/>
                <w:sz w:val="24"/>
                <w:szCs w:val="24"/>
                <w:lang w:eastAsia="et-EE"/>
              </w:rPr>
            </w:pPr>
            <w:r>
              <w:rPr>
                <w:rFonts w:ascii="Times New Roman" w:eastAsia="Times New Roman" w:hAnsi="Times New Roman"/>
                <w:sz w:val="24"/>
                <w:szCs w:val="24"/>
                <w:lang w:eastAsia="et-EE"/>
              </w:rPr>
              <w:t>Määrus jõustub kolmandal päeval pärast Riigi Teatajas avaldamist.</w:t>
            </w:r>
          </w:p>
          <w:p w14:paraId="55C9760D" w14:textId="77777777" w:rsidR="00C22B95" w:rsidRPr="00DB4C26" w:rsidRDefault="00C22B95" w:rsidP="00C22B95">
            <w:pPr>
              <w:tabs>
                <w:tab w:val="left" w:pos="5387"/>
              </w:tabs>
              <w:spacing w:after="0" w:line="240" w:lineRule="auto"/>
              <w:jc w:val="both"/>
              <w:rPr>
                <w:rFonts w:ascii="Times New Roman" w:hAnsi="Times New Roman"/>
                <w:sz w:val="24"/>
                <w:szCs w:val="24"/>
              </w:rPr>
            </w:pPr>
          </w:p>
        </w:tc>
      </w:tr>
    </w:tbl>
    <w:p w14:paraId="55C9760F" w14:textId="77777777" w:rsidR="00A357CC" w:rsidRDefault="00A357CC" w:rsidP="00AF1DE6">
      <w:pPr>
        <w:tabs>
          <w:tab w:val="left" w:pos="5387"/>
        </w:tabs>
        <w:spacing w:after="0" w:line="240" w:lineRule="auto"/>
        <w:jc w:val="both"/>
        <w:rPr>
          <w:rFonts w:ascii="Times New Roman" w:hAnsi="Times New Roman"/>
          <w:sz w:val="24"/>
          <w:szCs w:val="24"/>
        </w:rPr>
      </w:pPr>
    </w:p>
    <w:p w14:paraId="55C97610" w14:textId="77777777" w:rsidR="00F77BE4" w:rsidRDefault="00F77BE4" w:rsidP="00AF1DE6">
      <w:pPr>
        <w:tabs>
          <w:tab w:val="left" w:pos="5387"/>
        </w:tabs>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4677"/>
      </w:tblGrid>
      <w:tr w:rsidR="00E13B6E" w:rsidRPr="002B1191" w14:paraId="55C97615" w14:textId="77777777" w:rsidTr="00E13B6E">
        <w:tc>
          <w:tcPr>
            <w:tcW w:w="4677" w:type="dxa"/>
            <w:shd w:val="clear" w:color="auto" w:fill="auto"/>
          </w:tcPr>
          <w:p w14:paraId="55C97611" w14:textId="77777777" w:rsidR="00E13B6E" w:rsidRDefault="00E13B6E" w:rsidP="002B1191">
            <w:pPr>
              <w:tabs>
                <w:tab w:val="left" w:pos="5387"/>
              </w:tabs>
              <w:spacing w:after="0" w:line="240" w:lineRule="auto"/>
              <w:jc w:val="both"/>
              <w:rPr>
                <w:rFonts w:ascii="Times New Roman" w:hAnsi="Times New Roman"/>
                <w:i/>
                <w:sz w:val="16"/>
                <w:szCs w:val="16"/>
              </w:rPr>
            </w:pPr>
            <w:r w:rsidRPr="00CD0CFF">
              <w:rPr>
                <w:rFonts w:ascii="Times New Roman" w:hAnsi="Times New Roman"/>
                <w:i/>
                <w:sz w:val="24"/>
                <w:szCs w:val="24"/>
              </w:rPr>
              <w:t>(allkirjastatud digitaalselt)</w:t>
            </w:r>
          </w:p>
          <w:p w14:paraId="55C97613" w14:textId="080E8E55" w:rsidR="00E13B6E" w:rsidRDefault="00E13B6E" w:rsidP="002B1191">
            <w:pPr>
              <w:tabs>
                <w:tab w:val="left" w:pos="5387"/>
              </w:tabs>
              <w:spacing w:after="0" w:line="240" w:lineRule="auto"/>
              <w:jc w:val="both"/>
              <w:rPr>
                <w:rFonts w:ascii="Times New Roman" w:hAnsi="Times New Roman"/>
                <w:sz w:val="24"/>
                <w:szCs w:val="24"/>
              </w:rPr>
            </w:pPr>
          </w:p>
          <w:p w14:paraId="3BCBDECB" w14:textId="0EC2D20F" w:rsidR="00C22B95" w:rsidRDefault="00C22B95" w:rsidP="002B1191">
            <w:pPr>
              <w:tabs>
                <w:tab w:val="left" w:pos="5387"/>
              </w:tabs>
              <w:spacing w:after="0" w:line="240" w:lineRule="auto"/>
              <w:jc w:val="both"/>
              <w:rPr>
                <w:rFonts w:ascii="Times New Roman" w:hAnsi="Times New Roman"/>
                <w:sz w:val="24"/>
                <w:szCs w:val="24"/>
              </w:rPr>
            </w:pPr>
            <w:r>
              <w:rPr>
                <w:rFonts w:ascii="Times New Roman" w:hAnsi="Times New Roman"/>
                <w:sz w:val="24"/>
                <w:szCs w:val="24"/>
              </w:rPr>
              <w:t>Maksim Butšenkov</w:t>
            </w:r>
          </w:p>
          <w:p w14:paraId="55C97614" w14:textId="44B5BD4D" w:rsidR="00E13B6E" w:rsidRPr="00030487" w:rsidRDefault="00C22B95" w:rsidP="002B1191">
            <w:pPr>
              <w:tabs>
                <w:tab w:val="left" w:pos="5387"/>
              </w:tabs>
              <w:spacing w:after="0" w:line="240" w:lineRule="auto"/>
              <w:jc w:val="both"/>
              <w:rPr>
                <w:rFonts w:ascii="Times New Roman" w:hAnsi="Times New Roman"/>
                <w:sz w:val="24"/>
                <w:szCs w:val="24"/>
              </w:rPr>
            </w:pPr>
            <w:r>
              <w:rPr>
                <w:rFonts w:ascii="Times New Roman" w:hAnsi="Times New Roman"/>
                <w:sz w:val="24"/>
                <w:szCs w:val="24"/>
              </w:rPr>
              <w:t>vallavolikogu esimees</w:t>
            </w:r>
          </w:p>
        </w:tc>
      </w:tr>
    </w:tbl>
    <w:p w14:paraId="55C97616" w14:textId="77777777" w:rsidR="00A357CC" w:rsidRDefault="00A357CC" w:rsidP="002B1191">
      <w:pPr>
        <w:spacing w:after="0" w:line="240" w:lineRule="auto"/>
        <w:rPr>
          <w:rFonts w:ascii="Times New Roman" w:hAnsi="Times New Roman"/>
          <w:sz w:val="24"/>
          <w:szCs w:val="24"/>
        </w:rPr>
      </w:pPr>
    </w:p>
    <w:p w14:paraId="55C97617" w14:textId="77777777" w:rsidR="00C27542" w:rsidRDefault="00C27542" w:rsidP="002B1191">
      <w:pPr>
        <w:spacing w:after="0" w:line="240" w:lineRule="auto"/>
        <w:rPr>
          <w:rFonts w:ascii="Times New Roman" w:hAnsi="Times New Roman"/>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
        <w:gridCol w:w="8381"/>
      </w:tblGrid>
      <w:tr w:rsidR="00C27542" w14:paraId="55C9761B" w14:textId="77777777" w:rsidTr="00C27542">
        <w:tc>
          <w:tcPr>
            <w:tcW w:w="976" w:type="dxa"/>
          </w:tcPr>
          <w:p w14:paraId="55C97618" w14:textId="76EA1173" w:rsidR="00C27542" w:rsidRDefault="00C27542" w:rsidP="002B1191">
            <w:pPr>
              <w:spacing w:after="0" w:line="240" w:lineRule="auto"/>
              <w:rPr>
                <w:rFonts w:ascii="Times New Roman" w:hAnsi="Times New Roman"/>
                <w:sz w:val="24"/>
                <w:szCs w:val="24"/>
              </w:rPr>
            </w:pPr>
            <w:r>
              <w:rPr>
                <w:rFonts w:ascii="Times New Roman" w:hAnsi="Times New Roman"/>
                <w:sz w:val="24"/>
                <w:szCs w:val="24"/>
              </w:rPr>
              <w:t>Lisad:</w:t>
            </w:r>
          </w:p>
        </w:tc>
        <w:tc>
          <w:tcPr>
            <w:tcW w:w="8518" w:type="dxa"/>
          </w:tcPr>
          <w:p w14:paraId="3279946D" w14:textId="77777777" w:rsidR="00C22B95" w:rsidRPr="006815CD" w:rsidRDefault="00C22B95" w:rsidP="00C22B95">
            <w:pPr>
              <w:pStyle w:val="Loendilik"/>
              <w:numPr>
                <w:ilvl w:val="0"/>
                <w:numId w:val="5"/>
              </w:numPr>
              <w:jc w:val="both"/>
              <w:rPr>
                <w:rFonts w:ascii="Times New Roman" w:hAnsi="Times New Roman"/>
                <w:sz w:val="24"/>
                <w:szCs w:val="24"/>
              </w:rPr>
            </w:pPr>
            <w:r w:rsidRPr="006815CD">
              <w:rPr>
                <w:rFonts w:ascii="Times New Roman" w:hAnsi="Times New Roman"/>
                <w:sz w:val="24"/>
                <w:szCs w:val="24"/>
              </w:rPr>
              <w:t>Tapa valla arengukava 202</w:t>
            </w:r>
            <w:r>
              <w:rPr>
                <w:rFonts w:ascii="Times New Roman" w:hAnsi="Times New Roman"/>
                <w:sz w:val="24"/>
                <w:szCs w:val="24"/>
              </w:rPr>
              <w:t>3</w:t>
            </w:r>
            <w:r w:rsidRPr="006815CD">
              <w:rPr>
                <w:rFonts w:ascii="Times New Roman" w:hAnsi="Times New Roman"/>
                <w:sz w:val="24"/>
                <w:szCs w:val="24"/>
              </w:rPr>
              <w:t>-2035 ja Tapa valla eelarvestrateegia 202</w:t>
            </w:r>
            <w:r>
              <w:rPr>
                <w:rFonts w:ascii="Times New Roman" w:hAnsi="Times New Roman"/>
                <w:sz w:val="24"/>
                <w:szCs w:val="24"/>
              </w:rPr>
              <w:t>5</w:t>
            </w:r>
            <w:r w:rsidRPr="006815CD">
              <w:rPr>
                <w:rFonts w:ascii="Times New Roman" w:hAnsi="Times New Roman"/>
                <w:sz w:val="24"/>
                <w:szCs w:val="24"/>
              </w:rPr>
              <w:t>-202</w:t>
            </w:r>
            <w:r>
              <w:rPr>
                <w:rFonts w:ascii="Times New Roman" w:hAnsi="Times New Roman"/>
                <w:sz w:val="24"/>
                <w:szCs w:val="24"/>
              </w:rPr>
              <w:t>9</w:t>
            </w:r>
          </w:p>
          <w:p w14:paraId="7D3FED5D" w14:textId="77777777" w:rsidR="00C22B95" w:rsidRPr="006815CD" w:rsidRDefault="00C22B95" w:rsidP="00C22B95">
            <w:pPr>
              <w:pStyle w:val="Loendilik"/>
              <w:numPr>
                <w:ilvl w:val="0"/>
                <w:numId w:val="5"/>
              </w:numPr>
              <w:jc w:val="both"/>
              <w:rPr>
                <w:rFonts w:ascii="Times New Roman" w:hAnsi="Times New Roman"/>
                <w:sz w:val="24"/>
                <w:szCs w:val="24"/>
              </w:rPr>
            </w:pPr>
            <w:r w:rsidRPr="006815CD">
              <w:rPr>
                <w:rFonts w:ascii="Times New Roman" w:hAnsi="Times New Roman"/>
                <w:sz w:val="24"/>
                <w:szCs w:val="24"/>
              </w:rPr>
              <w:t>Lisa 1 Lühiülevaade vallast</w:t>
            </w:r>
          </w:p>
          <w:p w14:paraId="18820BD6" w14:textId="77777777" w:rsidR="00C22B95" w:rsidRPr="006815CD" w:rsidRDefault="00C22B95" w:rsidP="00C22B95">
            <w:pPr>
              <w:pStyle w:val="Loendilik"/>
              <w:numPr>
                <w:ilvl w:val="0"/>
                <w:numId w:val="5"/>
              </w:numPr>
              <w:jc w:val="both"/>
              <w:rPr>
                <w:rFonts w:ascii="Times New Roman" w:hAnsi="Times New Roman"/>
                <w:sz w:val="24"/>
                <w:szCs w:val="24"/>
              </w:rPr>
            </w:pPr>
            <w:r w:rsidRPr="006815CD">
              <w:rPr>
                <w:rFonts w:ascii="Times New Roman" w:hAnsi="Times New Roman"/>
                <w:sz w:val="24"/>
                <w:szCs w:val="24"/>
              </w:rPr>
              <w:t>Lisa 2 Tapa valla elanike rahuoluküsitluse 2022 kokkuvõte</w:t>
            </w:r>
          </w:p>
          <w:p w14:paraId="500CDEBE" w14:textId="5D4FE501" w:rsidR="00C22B95" w:rsidRPr="006815CD" w:rsidRDefault="00C22B95" w:rsidP="00C22B95">
            <w:pPr>
              <w:pStyle w:val="Loendilik"/>
              <w:numPr>
                <w:ilvl w:val="0"/>
                <w:numId w:val="5"/>
              </w:numPr>
              <w:jc w:val="both"/>
              <w:rPr>
                <w:rFonts w:ascii="Times New Roman" w:hAnsi="Times New Roman"/>
                <w:sz w:val="24"/>
                <w:szCs w:val="24"/>
              </w:rPr>
            </w:pPr>
            <w:r w:rsidRPr="006815CD">
              <w:rPr>
                <w:rFonts w:ascii="Times New Roman" w:hAnsi="Times New Roman"/>
                <w:sz w:val="24"/>
                <w:szCs w:val="24"/>
              </w:rPr>
              <w:t>Lisa 3 Kogukondlike mõttetalgute 2022 kokku</w:t>
            </w:r>
            <w:r w:rsidR="008D65DE">
              <w:rPr>
                <w:rFonts w:ascii="Times New Roman" w:hAnsi="Times New Roman"/>
                <w:sz w:val="24"/>
                <w:szCs w:val="24"/>
              </w:rPr>
              <w:t>võte</w:t>
            </w:r>
          </w:p>
          <w:p w14:paraId="55C9761A" w14:textId="704D64E2" w:rsidR="00772CF5" w:rsidRPr="00C22B95" w:rsidRDefault="00C22B95" w:rsidP="00C22B95">
            <w:pPr>
              <w:pStyle w:val="Loendilik"/>
              <w:numPr>
                <w:ilvl w:val="0"/>
                <w:numId w:val="5"/>
              </w:numPr>
              <w:spacing w:after="0" w:line="240" w:lineRule="auto"/>
              <w:ind w:left="300" w:hanging="283"/>
              <w:rPr>
                <w:rFonts w:ascii="Times New Roman" w:hAnsi="Times New Roman"/>
                <w:sz w:val="24"/>
                <w:szCs w:val="24"/>
              </w:rPr>
            </w:pPr>
            <w:r w:rsidRPr="006815CD">
              <w:rPr>
                <w:rFonts w:ascii="Times New Roman" w:hAnsi="Times New Roman"/>
                <w:sz w:val="24"/>
                <w:szCs w:val="24"/>
              </w:rPr>
              <w:t>Lisa 4 Eelarvestrateegia tabel</w:t>
            </w:r>
          </w:p>
        </w:tc>
      </w:tr>
    </w:tbl>
    <w:p w14:paraId="55C9761C" w14:textId="77777777" w:rsidR="002B1191" w:rsidRDefault="002B1191" w:rsidP="002B1191">
      <w:pPr>
        <w:spacing w:after="0" w:line="240" w:lineRule="auto"/>
        <w:rPr>
          <w:rFonts w:ascii="Times New Roman" w:hAnsi="Times New Roman"/>
          <w:sz w:val="24"/>
          <w:szCs w:val="24"/>
        </w:rPr>
      </w:pPr>
    </w:p>
    <w:p w14:paraId="55C9761D" w14:textId="7088A9AD" w:rsidR="00C22B95" w:rsidRDefault="00C22B95">
      <w:pPr>
        <w:spacing w:after="0" w:line="240" w:lineRule="auto"/>
        <w:rPr>
          <w:rFonts w:ascii="Times New Roman" w:hAnsi="Times New Roman"/>
          <w:sz w:val="24"/>
          <w:szCs w:val="24"/>
        </w:rPr>
      </w:pPr>
      <w:r>
        <w:rPr>
          <w:rFonts w:ascii="Times New Roman" w:hAnsi="Times New Roman"/>
          <w:sz w:val="24"/>
          <w:szCs w:val="24"/>
        </w:rPr>
        <w:br w:type="page"/>
      </w:r>
    </w:p>
    <w:p w14:paraId="45E24204" w14:textId="77777777" w:rsidR="00C27542" w:rsidRDefault="00C27542" w:rsidP="002B1191">
      <w:pPr>
        <w:spacing w:after="0" w:line="240" w:lineRule="auto"/>
        <w:rPr>
          <w:rFonts w:ascii="Times New Roman" w:hAnsi="Times New Roman"/>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948"/>
        <w:gridCol w:w="145"/>
      </w:tblGrid>
      <w:tr w:rsidR="00C27542" w14:paraId="55C9761F" w14:textId="77777777" w:rsidTr="00435C14">
        <w:tc>
          <w:tcPr>
            <w:tcW w:w="9354" w:type="dxa"/>
            <w:gridSpan w:val="3"/>
          </w:tcPr>
          <w:p w14:paraId="55C9761E" w14:textId="77777777" w:rsidR="00C27542" w:rsidRPr="00C27542" w:rsidRDefault="00C27542" w:rsidP="002B1191">
            <w:pPr>
              <w:spacing w:after="0" w:line="240" w:lineRule="auto"/>
              <w:rPr>
                <w:rFonts w:ascii="Times New Roman" w:hAnsi="Times New Roman"/>
                <w:b/>
                <w:sz w:val="24"/>
                <w:szCs w:val="24"/>
              </w:rPr>
            </w:pPr>
            <w:r w:rsidRPr="00C27542">
              <w:rPr>
                <w:rFonts w:ascii="Times New Roman" w:hAnsi="Times New Roman"/>
                <w:b/>
                <w:sz w:val="24"/>
                <w:szCs w:val="24"/>
              </w:rPr>
              <w:t>Seletuskiri</w:t>
            </w:r>
          </w:p>
        </w:tc>
      </w:tr>
      <w:tr w:rsidR="00C27542" w14:paraId="55C97621" w14:textId="77777777" w:rsidTr="00435C14">
        <w:tc>
          <w:tcPr>
            <w:tcW w:w="9354" w:type="dxa"/>
            <w:gridSpan w:val="3"/>
          </w:tcPr>
          <w:p w14:paraId="2316202C" w14:textId="6504A976" w:rsidR="00526606" w:rsidRDefault="00526606" w:rsidP="00C22B95">
            <w:pPr>
              <w:spacing w:after="0" w:line="240" w:lineRule="auto"/>
              <w:jc w:val="both"/>
              <w:rPr>
                <w:rFonts w:ascii="Times New Roman" w:hAnsi="Times New Roman"/>
                <w:color w:val="000000"/>
                <w:sz w:val="24"/>
                <w:szCs w:val="24"/>
              </w:rPr>
            </w:pPr>
            <w:r>
              <w:rPr>
                <w:rFonts w:ascii="Times New Roman" w:hAnsi="Times New Roman"/>
                <w:color w:val="000000"/>
                <w:sz w:val="24"/>
                <w:szCs w:val="24"/>
              </w:rPr>
              <w:t>U</w:t>
            </w:r>
            <w:r w:rsidRPr="00526606">
              <w:rPr>
                <w:rFonts w:ascii="Times New Roman" w:hAnsi="Times New Roman"/>
                <w:color w:val="000000"/>
                <w:sz w:val="24"/>
                <w:szCs w:val="24"/>
              </w:rPr>
              <w:t>ues redaktsioonis</w:t>
            </w:r>
            <w:r>
              <w:rPr>
                <w:rFonts w:ascii="Times New Roman" w:hAnsi="Times New Roman"/>
                <w:color w:val="000000"/>
                <w:sz w:val="24"/>
                <w:szCs w:val="24"/>
              </w:rPr>
              <w:t xml:space="preserve"> Tapa valla arengukavas 2023-2035 ja Tapa valla eelarvestrateegias 2025-2029 on uuendatud </w:t>
            </w:r>
            <w:r w:rsidR="00193A3F">
              <w:rPr>
                <w:rFonts w:ascii="Times New Roman" w:hAnsi="Times New Roman"/>
                <w:color w:val="000000"/>
                <w:sz w:val="24"/>
                <w:szCs w:val="24"/>
              </w:rPr>
              <w:t xml:space="preserve">jooksvalt </w:t>
            </w:r>
            <w:r>
              <w:rPr>
                <w:rFonts w:ascii="Times New Roman" w:hAnsi="Times New Roman"/>
                <w:color w:val="000000"/>
                <w:sz w:val="24"/>
                <w:szCs w:val="24"/>
              </w:rPr>
              <w:t>arvandmeid ja täiendatud  eelarvestrateegia investeerimiskava.</w:t>
            </w:r>
          </w:p>
          <w:p w14:paraId="52554B82" w14:textId="77777777" w:rsidR="00526606" w:rsidRDefault="00526606" w:rsidP="00C22B95">
            <w:pPr>
              <w:spacing w:after="0" w:line="240" w:lineRule="auto"/>
              <w:jc w:val="both"/>
              <w:rPr>
                <w:rFonts w:ascii="Times New Roman" w:hAnsi="Times New Roman"/>
                <w:sz w:val="24"/>
                <w:szCs w:val="24"/>
              </w:rPr>
            </w:pPr>
          </w:p>
          <w:p w14:paraId="06314A13" w14:textId="28FD93A6" w:rsidR="00C22B95" w:rsidRPr="00DC4B5C" w:rsidRDefault="00C22B95" w:rsidP="00C22B95">
            <w:pPr>
              <w:spacing w:after="0" w:line="240" w:lineRule="auto"/>
              <w:jc w:val="both"/>
              <w:rPr>
                <w:rFonts w:ascii="Times New Roman" w:hAnsi="Times New Roman"/>
                <w:sz w:val="24"/>
                <w:szCs w:val="24"/>
              </w:rPr>
            </w:pPr>
            <w:r w:rsidRPr="00DC4B5C">
              <w:rPr>
                <w:rFonts w:ascii="Times New Roman" w:hAnsi="Times New Roman"/>
                <w:sz w:val="24"/>
                <w:szCs w:val="24"/>
              </w:rPr>
              <w:t xml:space="preserve">Tapa valla arengukava koostamise eesmärk on arengueeldusi arvestades kujundada visioon Tapa vallast aastateks 2023—2035 ja kavandada selle alusel valla jätkusuutlik ning plaanipäraselt edukas areng, luua alus eelarve koostamiseks ja investeeringute kavandamiseks kooskõlas vallaeelarve prognoositavate võimalustega. </w:t>
            </w:r>
          </w:p>
          <w:p w14:paraId="2BF37E90" w14:textId="77777777" w:rsidR="00C22B95" w:rsidRPr="00DC4B5C" w:rsidRDefault="00C22B95" w:rsidP="00C22B95">
            <w:pPr>
              <w:spacing w:after="0" w:line="240" w:lineRule="auto"/>
              <w:jc w:val="both"/>
              <w:rPr>
                <w:rFonts w:ascii="Times New Roman" w:hAnsi="Times New Roman"/>
                <w:sz w:val="24"/>
                <w:szCs w:val="24"/>
              </w:rPr>
            </w:pPr>
          </w:p>
          <w:p w14:paraId="374B34FA" w14:textId="77777777" w:rsidR="00C22B95" w:rsidRPr="00DC4B5C" w:rsidRDefault="00C22B95" w:rsidP="00C22B95">
            <w:pPr>
              <w:spacing w:after="0" w:line="240" w:lineRule="auto"/>
              <w:jc w:val="both"/>
              <w:rPr>
                <w:rFonts w:ascii="Times New Roman" w:hAnsi="Times New Roman"/>
                <w:sz w:val="24"/>
                <w:szCs w:val="24"/>
              </w:rPr>
            </w:pPr>
            <w:r w:rsidRPr="00DC4B5C">
              <w:rPr>
                <w:rFonts w:ascii="Times New Roman" w:hAnsi="Times New Roman"/>
                <w:sz w:val="24"/>
                <w:szCs w:val="24"/>
              </w:rPr>
              <w:t>Arengukava kehtestab Tapa valla arendamise eelistused, strateegilised arengusuunad ja eesmärgid, lähtudes kinnitatud arengudokumentidest, valla majandus- ja sotsiaalvaldkondade hetkeolukorrast ja prognoosist ning vallaelanike avalikest huvidest.</w:t>
            </w:r>
          </w:p>
          <w:p w14:paraId="5B3C2C6A" w14:textId="77777777" w:rsidR="00C22B95" w:rsidRPr="00DC4B5C" w:rsidRDefault="00C22B95" w:rsidP="00C22B95">
            <w:pPr>
              <w:spacing w:after="0" w:line="240" w:lineRule="auto"/>
              <w:jc w:val="both"/>
              <w:rPr>
                <w:rFonts w:ascii="Times New Roman" w:hAnsi="Times New Roman"/>
                <w:sz w:val="24"/>
                <w:szCs w:val="24"/>
              </w:rPr>
            </w:pPr>
          </w:p>
          <w:p w14:paraId="2E80D74B" w14:textId="77777777" w:rsidR="00C22B95" w:rsidRPr="00DC4B5C" w:rsidRDefault="00C22B95" w:rsidP="00C22B95">
            <w:pPr>
              <w:spacing w:after="0" w:line="240" w:lineRule="auto"/>
              <w:jc w:val="both"/>
              <w:rPr>
                <w:rFonts w:ascii="Times New Roman" w:hAnsi="Times New Roman"/>
                <w:sz w:val="24"/>
                <w:szCs w:val="24"/>
              </w:rPr>
            </w:pPr>
            <w:r w:rsidRPr="00DC4B5C">
              <w:rPr>
                <w:rFonts w:ascii="Times New Roman" w:hAnsi="Times New Roman"/>
                <w:sz w:val="24"/>
                <w:szCs w:val="24"/>
              </w:rPr>
              <w:t xml:space="preserve">Arengukava koostatakse vastavuse Tapa valla ja maakonna üldplaneeringuga ning valla teiste arengudokumentide ja riigi vastavate arengudokumentidega. </w:t>
            </w:r>
          </w:p>
          <w:p w14:paraId="1FD02A98" w14:textId="77777777" w:rsidR="00C22B95" w:rsidRPr="00DC4B5C" w:rsidRDefault="00C22B95" w:rsidP="00C22B95">
            <w:pPr>
              <w:spacing w:after="0" w:line="240" w:lineRule="auto"/>
              <w:jc w:val="both"/>
              <w:rPr>
                <w:rFonts w:ascii="Times New Roman" w:hAnsi="Times New Roman"/>
                <w:sz w:val="24"/>
                <w:szCs w:val="24"/>
              </w:rPr>
            </w:pPr>
            <w:r w:rsidRPr="00DC4B5C">
              <w:rPr>
                <w:rFonts w:ascii="Times New Roman" w:hAnsi="Times New Roman"/>
                <w:sz w:val="24"/>
                <w:szCs w:val="24"/>
              </w:rPr>
              <w:t>Arengukava kajastab strateegilisi eesmärke aastani 2035.</w:t>
            </w:r>
          </w:p>
          <w:p w14:paraId="0FFED49A" w14:textId="77777777" w:rsidR="00C22B95" w:rsidRPr="00DC4B5C" w:rsidRDefault="00C22B95" w:rsidP="00C22B95">
            <w:pPr>
              <w:spacing w:after="0" w:line="240" w:lineRule="auto"/>
              <w:jc w:val="both"/>
              <w:rPr>
                <w:rFonts w:ascii="Times New Roman" w:hAnsi="Times New Roman"/>
                <w:sz w:val="24"/>
                <w:szCs w:val="24"/>
              </w:rPr>
            </w:pPr>
            <w:r w:rsidRPr="00DC4B5C">
              <w:rPr>
                <w:rFonts w:ascii="Times New Roman" w:hAnsi="Times New Roman"/>
                <w:sz w:val="24"/>
                <w:szCs w:val="24"/>
              </w:rPr>
              <w:t>Arengukava koosseisus esitatakse:</w:t>
            </w:r>
          </w:p>
          <w:p w14:paraId="3E2EC115" w14:textId="77777777" w:rsidR="00C22B95" w:rsidRPr="00DC4B5C" w:rsidRDefault="00C22B95" w:rsidP="00C22B95">
            <w:pPr>
              <w:numPr>
                <w:ilvl w:val="0"/>
                <w:numId w:val="6"/>
              </w:numPr>
              <w:spacing w:after="0" w:line="240" w:lineRule="auto"/>
              <w:jc w:val="both"/>
              <w:rPr>
                <w:rFonts w:ascii="Times New Roman" w:hAnsi="Times New Roman"/>
                <w:sz w:val="24"/>
                <w:szCs w:val="24"/>
              </w:rPr>
            </w:pPr>
            <w:r w:rsidRPr="00DC4B5C">
              <w:rPr>
                <w:rFonts w:ascii="Times New Roman" w:hAnsi="Times New Roman"/>
                <w:sz w:val="24"/>
                <w:szCs w:val="24"/>
              </w:rPr>
              <w:t>majandusliku, sotsiaalse ja kultuurilise keskkonna ning looduskeskkonna ja rahvastiku tervise arengu pikaajalised suundumused ja vajadused;</w:t>
            </w:r>
          </w:p>
          <w:p w14:paraId="22B211C1" w14:textId="77777777" w:rsidR="00C22B95" w:rsidRPr="00DC4B5C" w:rsidRDefault="00C22B95" w:rsidP="00C22B95">
            <w:pPr>
              <w:numPr>
                <w:ilvl w:val="0"/>
                <w:numId w:val="6"/>
              </w:numPr>
              <w:spacing w:after="0" w:line="240" w:lineRule="auto"/>
              <w:jc w:val="both"/>
              <w:rPr>
                <w:rFonts w:ascii="Times New Roman" w:hAnsi="Times New Roman"/>
                <w:sz w:val="24"/>
                <w:szCs w:val="24"/>
              </w:rPr>
            </w:pPr>
            <w:r w:rsidRPr="00DC4B5C">
              <w:rPr>
                <w:rFonts w:ascii="Times New Roman" w:hAnsi="Times New Roman"/>
                <w:sz w:val="24"/>
                <w:szCs w:val="24"/>
              </w:rPr>
              <w:t>probleemide ja võimaluste hetkeolukorra analüüs tegevusvaldkondade lõikes;</w:t>
            </w:r>
          </w:p>
          <w:p w14:paraId="245FEBC3" w14:textId="77777777" w:rsidR="00C22B95" w:rsidRPr="00DC4B5C" w:rsidRDefault="00C22B95" w:rsidP="00C22B95">
            <w:pPr>
              <w:numPr>
                <w:ilvl w:val="0"/>
                <w:numId w:val="6"/>
              </w:numPr>
              <w:spacing w:after="0" w:line="240" w:lineRule="auto"/>
              <w:jc w:val="both"/>
              <w:rPr>
                <w:rFonts w:ascii="Times New Roman" w:hAnsi="Times New Roman"/>
                <w:sz w:val="24"/>
                <w:szCs w:val="24"/>
              </w:rPr>
            </w:pPr>
            <w:r w:rsidRPr="00DC4B5C">
              <w:rPr>
                <w:rFonts w:ascii="Times New Roman" w:hAnsi="Times New Roman"/>
                <w:sz w:val="24"/>
                <w:szCs w:val="24"/>
              </w:rPr>
              <w:t>tegevusvaldkondade strateegilised eesmärgid koos taotletava mõjuga arengukava perioodi lõpuni;</w:t>
            </w:r>
          </w:p>
          <w:p w14:paraId="0EE458BB" w14:textId="77777777" w:rsidR="00C22B95" w:rsidRPr="00DC4B5C" w:rsidRDefault="00C22B95" w:rsidP="00C22B95">
            <w:pPr>
              <w:numPr>
                <w:ilvl w:val="0"/>
                <w:numId w:val="6"/>
              </w:numPr>
              <w:spacing w:after="0" w:line="240" w:lineRule="auto"/>
              <w:jc w:val="both"/>
              <w:rPr>
                <w:rFonts w:ascii="Times New Roman" w:hAnsi="Times New Roman"/>
                <w:sz w:val="24"/>
                <w:szCs w:val="24"/>
              </w:rPr>
            </w:pPr>
            <w:r w:rsidRPr="00DC4B5C">
              <w:rPr>
                <w:rFonts w:ascii="Times New Roman" w:hAnsi="Times New Roman"/>
                <w:sz w:val="24"/>
                <w:szCs w:val="24"/>
              </w:rPr>
              <w:t>strateegiliste eesmärkide täitmiseks vajalikud tegevused arengukava perioodil 2023—2035.</w:t>
            </w:r>
          </w:p>
          <w:p w14:paraId="692CBCF2" w14:textId="77777777" w:rsidR="00C22B95" w:rsidRPr="00DC4B5C" w:rsidRDefault="00C22B95" w:rsidP="00C22B95">
            <w:pPr>
              <w:spacing w:after="0" w:line="240" w:lineRule="auto"/>
              <w:jc w:val="both"/>
              <w:rPr>
                <w:rFonts w:ascii="Times New Roman" w:hAnsi="Times New Roman"/>
                <w:sz w:val="24"/>
                <w:szCs w:val="24"/>
              </w:rPr>
            </w:pPr>
          </w:p>
          <w:p w14:paraId="745986E6" w14:textId="77777777" w:rsidR="00C22B95" w:rsidRPr="00DC4B5C" w:rsidRDefault="00C22B95" w:rsidP="00C22B95">
            <w:pPr>
              <w:spacing w:after="0" w:line="240" w:lineRule="auto"/>
              <w:jc w:val="both"/>
              <w:rPr>
                <w:rFonts w:ascii="Times New Roman" w:hAnsi="Times New Roman"/>
                <w:sz w:val="24"/>
                <w:szCs w:val="24"/>
              </w:rPr>
            </w:pPr>
            <w:r w:rsidRPr="00DC4B5C">
              <w:rPr>
                <w:rFonts w:ascii="Times New Roman" w:hAnsi="Times New Roman"/>
                <w:sz w:val="24"/>
                <w:szCs w:val="24"/>
              </w:rPr>
              <w:t>Tapa valla eelarvestrateegia 2025—2029 on arengukavast tulenev selgitustega finantsplaan, mis on arengukavaga seotud dokument. Eelarvestrateegia nõuded sätestatakse kohaliku omavalitsuse üksuse finantsjuhtimise seaduses.</w:t>
            </w:r>
          </w:p>
          <w:p w14:paraId="2999107B" w14:textId="77777777" w:rsidR="00C22B95" w:rsidRPr="00DC4B5C" w:rsidRDefault="00C22B95" w:rsidP="00C22B95">
            <w:pPr>
              <w:spacing w:after="0" w:line="240" w:lineRule="auto"/>
              <w:jc w:val="both"/>
              <w:rPr>
                <w:rFonts w:ascii="Times New Roman" w:hAnsi="Times New Roman"/>
                <w:sz w:val="24"/>
                <w:szCs w:val="24"/>
              </w:rPr>
            </w:pPr>
            <w:r w:rsidRPr="00DC4B5C">
              <w:rPr>
                <w:rFonts w:ascii="Times New Roman" w:hAnsi="Times New Roman"/>
                <w:sz w:val="24"/>
                <w:szCs w:val="24"/>
              </w:rPr>
              <w:t>Arengukava ja eelarvestrateegia on aluseks kohaliku omavalitsuse üksuse eelarve koostamisel, kohustuste võtmisel, varaga tehingute tegemisel, investeeringute kavandamisel ning investeeringuteks toetuse taotlemisel.</w:t>
            </w:r>
          </w:p>
          <w:p w14:paraId="7019F9F3" w14:textId="77777777" w:rsidR="00C22B95" w:rsidRPr="00DC4B5C" w:rsidRDefault="00C22B95" w:rsidP="00C22B95">
            <w:pPr>
              <w:spacing w:after="0" w:line="240" w:lineRule="auto"/>
              <w:jc w:val="both"/>
              <w:rPr>
                <w:rFonts w:ascii="Times New Roman" w:hAnsi="Times New Roman"/>
                <w:sz w:val="24"/>
                <w:szCs w:val="24"/>
              </w:rPr>
            </w:pPr>
            <w:r w:rsidRPr="00DC4B5C">
              <w:rPr>
                <w:rFonts w:ascii="Times New Roman" w:hAnsi="Times New Roman"/>
                <w:sz w:val="24"/>
                <w:szCs w:val="24"/>
              </w:rPr>
              <w:t>Kui arengukava muudetakse ja sellega kaasneb mõju eelarvele, tuleb eelarvestrateegia viia arengukavaga kooskõlla.</w:t>
            </w:r>
          </w:p>
          <w:p w14:paraId="2F96D31E" w14:textId="77777777" w:rsidR="00C22B95" w:rsidRPr="00DC4B5C" w:rsidRDefault="00C22B95" w:rsidP="00C22B95">
            <w:pPr>
              <w:spacing w:after="0" w:line="240" w:lineRule="auto"/>
              <w:jc w:val="both"/>
              <w:rPr>
                <w:rFonts w:ascii="Times New Roman" w:hAnsi="Times New Roman"/>
                <w:sz w:val="24"/>
                <w:szCs w:val="24"/>
              </w:rPr>
            </w:pPr>
          </w:p>
          <w:p w14:paraId="482DF8D8" w14:textId="77777777" w:rsidR="00C22B95" w:rsidRPr="00DC4B5C" w:rsidRDefault="00C22B95" w:rsidP="00C22B95">
            <w:pPr>
              <w:spacing w:after="0" w:line="240" w:lineRule="auto"/>
              <w:jc w:val="both"/>
              <w:rPr>
                <w:rFonts w:ascii="Times New Roman" w:hAnsi="Times New Roman"/>
                <w:sz w:val="24"/>
                <w:szCs w:val="24"/>
              </w:rPr>
            </w:pPr>
            <w:r w:rsidRPr="00DC4B5C">
              <w:rPr>
                <w:rFonts w:ascii="Times New Roman" w:hAnsi="Times New Roman"/>
                <w:sz w:val="24"/>
                <w:szCs w:val="24"/>
              </w:rPr>
              <w:t>Kohaliku omavalitsuse korralduse seaduse § 37</w:t>
            </w:r>
            <w:r w:rsidRPr="00DC4B5C">
              <w:rPr>
                <w:rFonts w:ascii="Times New Roman" w:hAnsi="Times New Roman"/>
                <w:sz w:val="24"/>
                <w:szCs w:val="24"/>
                <w:vertAlign w:val="superscript"/>
              </w:rPr>
              <w:t>2</w:t>
            </w:r>
            <w:r w:rsidRPr="00DC4B5C">
              <w:rPr>
                <w:rFonts w:ascii="Times New Roman" w:hAnsi="Times New Roman"/>
                <w:sz w:val="24"/>
                <w:szCs w:val="24"/>
              </w:rPr>
              <w:t xml:space="preserve"> </w:t>
            </w:r>
            <w:bookmarkStart w:id="0" w:name="para37b2lg3"/>
            <w:r w:rsidRPr="00DC4B5C">
              <w:rPr>
                <w:rFonts w:ascii="Times New Roman" w:hAnsi="Times New Roman"/>
                <w:sz w:val="24"/>
                <w:szCs w:val="24"/>
              </w:rPr>
              <w:t>  </w:t>
            </w:r>
            <w:bookmarkEnd w:id="0"/>
            <w:r w:rsidRPr="00DC4B5C">
              <w:rPr>
                <w:rFonts w:ascii="Times New Roman" w:hAnsi="Times New Roman"/>
                <w:sz w:val="24"/>
                <w:szCs w:val="24"/>
              </w:rPr>
              <w:t xml:space="preserve">lg 3 sätestab, et arengukava ja eelarvestrateegia peavad hõlmama iga aasta 15. oktoobri seisuga vähemalt nelja eelseisvat eelarveaastat. Seega 15.10.2024 seisuga peab valla arengukava hõlmama vähemalt aastaid 2025-2028. </w:t>
            </w:r>
          </w:p>
          <w:p w14:paraId="26B0533B" w14:textId="77777777" w:rsidR="00C22B95" w:rsidRPr="00DC4B5C" w:rsidRDefault="00C22B95" w:rsidP="00C22B95">
            <w:pPr>
              <w:spacing w:after="0" w:line="240" w:lineRule="auto"/>
              <w:jc w:val="both"/>
              <w:rPr>
                <w:rFonts w:ascii="Times New Roman" w:hAnsi="Times New Roman"/>
                <w:sz w:val="24"/>
                <w:szCs w:val="24"/>
              </w:rPr>
            </w:pPr>
          </w:p>
          <w:p w14:paraId="5575D354" w14:textId="4C3852AC" w:rsidR="00C22B95" w:rsidRPr="00DC4B5C" w:rsidRDefault="00C22B95" w:rsidP="00C22B95">
            <w:pPr>
              <w:spacing w:after="0" w:line="240" w:lineRule="auto"/>
              <w:jc w:val="both"/>
              <w:rPr>
                <w:rFonts w:ascii="Times New Roman" w:hAnsi="Times New Roman"/>
                <w:sz w:val="24"/>
                <w:szCs w:val="24"/>
              </w:rPr>
            </w:pPr>
            <w:r w:rsidRPr="00DC4B5C">
              <w:rPr>
                <w:rFonts w:ascii="Times New Roman" w:hAnsi="Times New Roman"/>
                <w:sz w:val="24"/>
                <w:szCs w:val="24"/>
              </w:rPr>
              <w:t xml:space="preserve">Peale  „Tapa valla arengukava 2023-2035 ja Tapa valla eelarvestrateegia 2025-2029“ I </w:t>
            </w:r>
            <w:r w:rsidR="008D65DE">
              <w:rPr>
                <w:rFonts w:ascii="Times New Roman" w:hAnsi="Times New Roman"/>
                <w:sz w:val="24"/>
                <w:szCs w:val="24"/>
              </w:rPr>
              <w:t>arutelu</w:t>
            </w:r>
            <w:r w:rsidRPr="00DC4B5C">
              <w:rPr>
                <w:rFonts w:ascii="Times New Roman" w:hAnsi="Times New Roman"/>
                <w:sz w:val="24"/>
                <w:szCs w:val="24"/>
              </w:rPr>
              <w:t xml:space="preserve"> suunatakse arengukava ja eelarvestrateegia avalikustamisele ja toimuvad kogukondades avalikud arutelud. Avalikustamise käigus on kõigil kodanikel, volikogu ja komisjoni liikmetel ning huvitatud isikutel teha parandus- ja täiendusettepanekuid arengukavasse ja eelarvestrateegiasse.</w:t>
            </w:r>
          </w:p>
          <w:p w14:paraId="24390FA4" w14:textId="77777777" w:rsidR="00C22B95" w:rsidRPr="00DC4B5C" w:rsidRDefault="00C22B95" w:rsidP="00C22B95">
            <w:pPr>
              <w:spacing w:after="0" w:line="240" w:lineRule="auto"/>
              <w:jc w:val="both"/>
              <w:rPr>
                <w:rFonts w:ascii="Times New Roman" w:hAnsi="Times New Roman"/>
                <w:sz w:val="24"/>
                <w:szCs w:val="24"/>
              </w:rPr>
            </w:pPr>
          </w:p>
          <w:p w14:paraId="3C19BD0D" w14:textId="77777777" w:rsidR="00C22B95" w:rsidRPr="00DC4B5C" w:rsidRDefault="00C22B95" w:rsidP="00C22B95">
            <w:pPr>
              <w:spacing w:after="0" w:line="240" w:lineRule="auto"/>
              <w:jc w:val="both"/>
              <w:rPr>
                <w:rFonts w:ascii="Times New Roman" w:hAnsi="Times New Roman"/>
                <w:sz w:val="24"/>
                <w:szCs w:val="24"/>
              </w:rPr>
            </w:pPr>
            <w:r w:rsidRPr="00DC4B5C">
              <w:rPr>
                <w:rFonts w:ascii="Times New Roman" w:hAnsi="Times New Roman"/>
                <w:sz w:val="24"/>
                <w:szCs w:val="24"/>
              </w:rPr>
              <w:t>„Tapa valla arengukava 2023-2035 ja Tapa valla eelarvestrateegia 2025-2029“ avalik väljapanekud toimuvad Tapa vallamajas ja Tamsalu halduskeskuses.</w:t>
            </w:r>
          </w:p>
          <w:p w14:paraId="42767796" w14:textId="77777777" w:rsidR="00C22B95" w:rsidRPr="00DC4B5C" w:rsidRDefault="00C22B95" w:rsidP="00C22B95">
            <w:pPr>
              <w:spacing w:after="0" w:line="240" w:lineRule="auto"/>
              <w:jc w:val="both"/>
              <w:rPr>
                <w:rFonts w:ascii="Times New Roman" w:hAnsi="Times New Roman"/>
                <w:sz w:val="24"/>
                <w:szCs w:val="24"/>
              </w:rPr>
            </w:pPr>
            <w:r w:rsidRPr="00DC4B5C">
              <w:rPr>
                <w:rFonts w:ascii="Times New Roman" w:hAnsi="Times New Roman"/>
                <w:sz w:val="24"/>
                <w:szCs w:val="24"/>
              </w:rPr>
              <w:t>Avalikud arutelud toimuvad: Tapal, Tamsalus, Assamallas, Porkunis, Vajangul, Lehtsel ja Jänedal.</w:t>
            </w:r>
          </w:p>
          <w:p w14:paraId="55D6837E" w14:textId="77777777" w:rsidR="00C22B95" w:rsidRPr="00DC4B5C" w:rsidRDefault="00C22B95" w:rsidP="00C22B95">
            <w:pPr>
              <w:spacing w:after="0" w:line="240" w:lineRule="auto"/>
              <w:jc w:val="both"/>
              <w:rPr>
                <w:rFonts w:ascii="Times New Roman" w:hAnsi="Times New Roman"/>
                <w:sz w:val="24"/>
                <w:szCs w:val="24"/>
              </w:rPr>
            </w:pPr>
          </w:p>
          <w:p w14:paraId="217F55FD" w14:textId="77777777" w:rsidR="00C22B95" w:rsidRPr="00DC4B5C" w:rsidRDefault="00C22B95" w:rsidP="00C22B95">
            <w:pPr>
              <w:spacing w:after="0" w:line="240" w:lineRule="auto"/>
              <w:jc w:val="both"/>
              <w:rPr>
                <w:rFonts w:ascii="Times New Roman" w:hAnsi="Times New Roman"/>
                <w:sz w:val="24"/>
                <w:szCs w:val="24"/>
              </w:rPr>
            </w:pPr>
            <w:r w:rsidRPr="00DC4B5C">
              <w:rPr>
                <w:rFonts w:ascii="Times New Roman" w:hAnsi="Times New Roman"/>
                <w:sz w:val="24"/>
                <w:szCs w:val="24"/>
              </w:rPr>
              <w:t>Avalikustamise ja avalike arutelude käigus laekunud parandusettepanekud vaatab läbi vallavalitsus, kujundab seisukoha ja edastab need volikogule.</w:t>
            </w:r>
          </w:p>
          <w:p w14:paraId="2D127CE4" w14:textId="77777777" w:rsidR="00C22B95" w:rsidRPr="00DC4B5C" w:rsidRDefault="00C22B95" w:rsidP="00C22B95">
            <w:pPr>
              <w:spacing w:after="0" w:line="240" w:lineRule="auto"/>
              <w:jc w:val="both"/>
              <w:rPr>
                <w:rFonts w:ascii="Times New Roman" w:hAnsi="Times New Roman"/>
                <w:sz w:val="24"/>
                <w:szCs w:val="24"/>
              </w:rPr>
            </w:pPr>
          </w:p>
          <w:p w14:paraId="394DF039" w14:textId="77777777" w:rsidR="00C22B95" w:rsidRPr="00DC4B5C" w:rsidRDefault="00C22B95" w:rsidP="00C22B95">
            <w:pPr>
              <w:spacing w:after="0" w:line="240" w:lineRule="auto"/>
              <w:jc w:val="both"/>
              <w:rPr>
                <w:rFonts w:ascii="Times New Roman" w:hAnsi="Times New Roman"/>
                <w:sz w:val="24"/>
                <w:szCs w:val="24"/>
              </w:rPr>
            </w:pPr>
            <w:r w:rsidRPr="00DC4B5C">
              <w:rPr>
                <w:rFonts w:ascii="Times New Roman" w:hAnsi="Times New Roman"/>
                <w:sz w:val="24"/>
                <w:szCs w:val="24"/>
              </w:rPr>
              <w:lastRenderedPageBreak/>
              <w:t>„Tapa valla arengukava 2023-2035 ja Tapa valla eelarvestrateegia 2025-2029“ II arutelu ja dokumentide kinnitamine toimub 2024 novembrikuu volikogu istungil.</w:t>
            </w:r>
          </w:p>
          <w:p w14:paraId="7E0599CA" w14:textId="77777777" w:rsidR="00C22B95" w:rsidRPr="00DC4B5C" w:rsidRDefault="00C22B95" w:rsidP="00C22B95">
            <w:pPr>
              <w:spacing w:after="0" w:line="240" w:lineRule="auto"/>
              <w:jc w:val="both"/>
              <w:rPr>
                <w:rFonts w:ascii="Times New Roman" w:hAnsi="Times New Roman"/>
                <w:sz w:val="24"/>
                <w:szCs w:val="24"/>
              </w:rPr>
            </w:pPr>
          </w:p>
          <w:p w14:paraId="37E9C77B" w14:textId="77777777" w:rsidR="00C22B95" w:rsidRPr="00DC4B5C" w:rsidRDefault="00C22B95" w:rsidP="00C22B95">
            <w:pPr>
              <w:spacing w:after="0" w:line="240" w:lineRule="auto"/>
              <w:jc w:val="both"/>
              <w:rPr>
                <w:rFonts w:ascii="Times New Roman" w:hAnsi="Times New Roman"/>
                <w:sz w:val="24"/>
                <w:szCs w:val="24"/>
              </w:rPr>
            </w:pPr>
            <w:r w:rsidRPr="00DC4B5C">
              <w:rPr>
                <w:rFonts w:ascii="Times New Roman" w:hAnsi="Times New Roman"/>
                <w:sz w:val="24"/>
                <w:szCs w:val="24"/>
              </w:rPr>
              <w:t>Eelarvestrateegia</w:t>
            </w:r>
          </w:p>
          <w:p w14:paraId="1E967F25" w14:textId="03733131" w:rsidR="00C22B95" w:rsidRPr="00DC4B5C" w:rsidRDefault="00C22B95" w:rsidP="00C22B95">
            <w:pPr>
              <w:spacing w:after="0"/>
              <w:jc w:val="both"/>
              <w:rPr>
                <w:rFonts w:ascii="Times New Roman" w:hAnsi="Times New Roman"/>
                <w:sz w:val="24"/>
                <w:szCs w:val="24"/>
              </w:rPr>
            </w:pPr>
            <w:r w:rsidRPr="00DC4B5C">
              <w:rPr>
                <w:rFonts w:ascii="Times New Roman" w:hAnsi="Times New Roman"/>
                <w:sz w:val="24"/>
                <w:szCs w:val="24"/>
              </w:rPr>
              <w:t xml:space="preserve">Tapa valla juhtimise lähtealuseks on 2022. aastal koostatud valla arengukava aastani 2035. Arengukava on alus vallaeelarve prioriteetide määramisel. Eelarve kaudu tagatakse valla arenguks vajalikud ressursid, finantspaindlikkus ning jätkusuutlik investeerimisvõime. Tapa valla arengukavas püstitatud eesmärkide ja vastavate tegevuste elluviimiseks on vajalik kindlustada valla tulubaasi stabiilsus ja jätkusuutlikkus ning finantsiline iseseisvus. </w:t>
            </w:r>
          </w:p>
          <w:p w14:paraId="0E987088" w14:textId="77777777" w:rsidR="00C22B95" w:rsidRPr="00DC4B5C" w:rsidRDefault="00C22B95" w:rsidP="00C22B95">
            <w:pPr>
              <w:spacing w:after="0"/>
              <w:jc w:val="both"/>
              <w:rPr>
                <w:rFonts w:ascii="Times New Roman" w:hAnsi="Times New Roman"/>
                <w:sz w:val="24"/>
                <w:szCs w:val="24"/>
              </w:rPr>
            </w:pPr>
          </w:p>
          <w:p w14:paraId="0921CCD4" w14:textId="77777777" w:rsidR="00C22B95" w:rsidRPr="00DC4B5C" w:rsidRDefault="00C22B95" w:rsidP="00C22B95">
            <w:pPr>
              <w:spacing w:after="0"/>
              <w:jc w:val="both"/>
              <w:rPr>
                <w:rFonts w:ascii="Times New Roman" w:hAnsi="Times New Roman"/>
                <w:sz w:val="24"/>
                <w:szCs w:val="24"/>
              </w:rPr>
            </w:pPr>
            <w:r w:rsidRPr="00DC4B5C">
              <w:rPr>
                <w:rFonts w:ascii="Times New Roman" w:hAnsi="Times New Roman"/>
                <w:sz w:val="24"/>
                <w:szCs w:val="24"/>
              </w:rPr>
              <w:t>Valla eelarvestrateegia koostamise peaeesmärgiks on kindlustada eelarvepoliitika pikemaajalise jätkusuutliku arengu tagamine ning iga-aastane tulude/kulude parem planeerimine.</w:t>
            </w:r>
          </w:p>
          <w:p w14:paraId="70BB9610" w14:textId="77777777" w:rsidR="00C22B95" w:rsidRPr="00DC4B5C" w:rsidRDefault="00C22B95" w:rsidP="00C22B95">
            <w:pPr>
              <w:spacing w:after="0"/>
              <w:jc w:val="both"/>
              <w:rPr>
                <w:rFonts w:ascii="Times New Roman" w:hAnsi="Times New Roman"/>
                <w:sz w:val="24"/>
                <w:szCs w:val="24"/>
              </w:rPr>
            </w:pPr>
          </w:p>
          <w:p w14:paraId="6778D4BA" w14:textId="77777777" w:rsidR="00C22B95" w:rsidRPr="00DC4B5C" w:rsidRDefault="00C22B95" w:rsidP="00C22B95">
            <w:pPr>
              <w:spacing w:after="0"/>
              <w:jc w:val="both"/>
              <w:rPr>
                <w:rFonts w:ascii="Times New Roman" w:hAnsi="Times New Roman"/>
                <w:sz w:val="24"/>
                <w:szCs w:val="24"/>
              </w:rPr>
            </w:pPr>
            <w:r w:rsidRPr="00DC4B5C">
              <w:rPr>
                <w:rFonts w:ascii="Times New Roman" w:hAnsi="Times New Roman"/>
                <w:sz w:val="24"/>
                <w:szCs w:val="24"/>
              </w:rPr>
              <w:t xml:space="preserve">Eelarvestrateegia annab rahalised orientiirid valla võimalustest arengukavas kavandatud tegevuste realiseerimiseks.  </w:t>
            </w:r>
          </w:p>
          <w:p w14:paraId="2185D996" w14:textId="77777777" w:rsidR="00C22B95" w:rsidRPr="00DC4B5C" w:rsidRDefault="00C22B95" w:rsidP="00C22B95">
            <w:pPr>
              <w:spacing w:after="0"/>
              <w:jc w:val="both"/>
              <w:rPr>
                <w:rFonts w:ascii="Times New Roman" w:hAnsi="Times New Roman"/>
                <w:sz w:val="24"/>
                <w:szCs w:val="24"/>
              </w:rPr>
            </w:pPr>
          </w:p>
          <w:p w14:paraId="26F90631" w14:textId="77777777" w:rsidR="00C22B95" w:rsidRPr="00DC4B5C" w:rsidRDefault="00C22B95" w:rsidP="00C22B95">
            <w:pPr>
              <w:spacing w:after="0"/>
              <w:jc w:val="both"/>
              <w:rPr>
                <w:rFonts w:ascii="Times New Roman" w:hAnsi="Times New Roman"/>
                <w:sz w:val="24"/>
                <w:szCs w:val="24"/>
              </w:rPr>
            </w:pPr>
            <w:r w:rsidRPr="00DC4B5C">
              <w:rPr>
                <w:rFonts w:ascii="Times New Roman" w:hAnsi="Times New Roman"/>
                <w:sz w:val="24"/>
                <w:szCs w:val="24"/>
              </w:rPr>
              <w:t xml:space="preserve">Eelarvestrateegia perioodi tegevuste planeerimisel on eesmärkideks seatud:  </w:t>
            </w:r>
          </w:p>
          <w:p w14:paraId="3A6F5035" w14:textId="77777777" w:rsidR="00C22B95" w:rsidRPr="00DC4B5C" w:rsidRDefault="00C22B95" w:rsidP="00C22B95">
            <w:pPr>
              <w:pStyle w:val="Loendilik"/>
              <w:numPr>
                <w:ilvl w:val="0"/>
                <w:numId w:val="7"/>
              </w:numPr>
              <w:spacing w:after="0" w:line="240" w:lineRule="auto"/>
              <w:jc w:val="both"/>
              <w:rPr>
                <w:rFonts w:ascii="Times New Roman" w:hAnsi="Times New Roman"/>
                <w:sz w:val="24"/>
                <w:szCs w:val="24"/>
              </w:rPr>
            </w:pPr>
            <w:r w:rsidRPr="00DC4B5C">
              <w:rPr>
                <w:rFonts w:ascii="Times New Roman" w:hAnsi="Times New Roman"/>
                <w:sz w:val="24"/>
                <w:szCs w:val="24"/>
              </w:rPr>
              <w:t>Kulude optimeerimine (sh valla omandis oleva energiamahuka alakasutatud kinnisvara võõrandamine või lammutamine või muutmine energiasäästlikuks);</w:t>
            </w:r>
          </w:p>
          <w:p w14:paraId="5B64C2E4" w14:textId="77777777" w:rsidR="00C22B95" w:rsidRPr="00DC4B5C" w:rsidRDefault="00C22B95" w:rsidP="00C22B95">
            <w:pPr>
              <w:pStyle w:val="Loendilik"/>
              <w:numPr>
                <w:ilvl w:val="0"/>
                <w:numId w:val="7"/>
              </w:numPr>
              <w:spacing w:after="0" w:line="240" w:lineRule="auto"/>
              <w:jc w:val="both"/>
              <w:rPr>
                <w:rFonts w:ascii="Times New Roman" w:hAnsi="Times New Roman"/>
                <w:sz w:val="24"/>
                <w:szCs w:val="24"/>
              </w:rPr>
            </w:pPr>
            <w:r w:rsidRPr="00DC4B5C">
              <w:rPr>
                <w:rFonts w:ascii="Times New Roman" w:hAnsi="Times New Roman"/>
                <w:sz w:val="24"/>
                <w:szCs w:val="24"/>
              </w:rPr>
              <w:t xml:space="preserve">Põhitegevuse tulemi kasv (võimalikult suurema põhitegevuse tulude-kulude ülejäägi saavutamine, sest see on eelduseks valla investeerimisvõimekuse säilimisele ja kasvule); </w:t>
            </w:r>
          </w:p>
          <w:p w14:paraId="4395832A" w14:textId="77777777" w:rsidR="00C22B95" w:rsidRPr="00DC4B5C" w:rsidRDefault="00C22B95" w:rsidP="00C22B95">
            <w:pPr>
              <w:pStyle w:val="Loendilik"/>
              <w:numPr>
                <w:ilvl w:val="0"/>
                <w:numId w:val="7"/>
              </w:numPr>
              <w:spacing w:after="0" w:line="240" w:lineRule="auto"/>
              <w:jc w:val="both"/>
              <w:rPr>
                <w:rFonts w:ascii="Times New Roman" w:hAnsi="Times New Roman"/>
                <w:sz w:val="24"/>
                <w:szCs w:val="24"/>
              </w:rPr>
            </w:pPr>
            <w:r w:rsidRPr="00DC4B5C">
              <w:rPr>
                <w:rFonts w:ascii="Times New Roman" w:hAnsi="Times New Roman"/>
                <w:sz w:val="24"/>
                <w:szCs w:val="24"/>
              </w:rPr>
              <w:t xml:space="preserve">Investeeringute püsivalt kõrge osakaal kogukuludest;  </w:t>
            </w:r>
          </w:p>
          <w:p w14:paraId="59D5B008" w14:textId="77777777" w:rsidR="00C22B95" w:rsidRPr="00DC4B5C" w:rsidRDefault="00C22B95" w:rsidP="00C22B95">
            <w:pPr>
              <w:pStyle w:val="Loendilik"/>
              <w:numPr>
                <w:ilvl w:val="0"/>
                <w:numId w:val="7"/>
              </w:numPr>
              <w:spacing w:after="0" w:line="240" w:lineRule="auto"/>
              <w:jc w:val="both"/>
              <w:rPr>
                <w:rFonts w:ascii="Times New Roman" w:hAnsi="Times New Roman"/>
                <w:sz w:val="24"/>
                <w:szCs w:val="24"/>
              </w:rPr>
            </w:pPr>
            <w:r w:rsidRPr="00DC4B5C">
              <w:rPr>
                <w:rFonts w:ascii="Times New Roman" w:hAnsi="Times New Roman"/>
                <w:sz w:val="24"/>
                <w:szCs w:val="24"/>
              </w:rPr>
              <w:t xml:space="preserve">Ulatuslik europrojektides osalemine struktuurifondide vahendite kaasamiseks;  </w:t>
            </w:r>
          </w:p>
          <w:p w14:paraId="75CF1193" w14:textId="77777777" w:rsidR="00C22B95" w:rsidRPr="00DC4B5C" w:rsidRDefault="00C22B95" w:rsidP="00C22B95">
            <w:pPr>
              <w:pStyle w:val="Loendilik"/>
              <w:numPr>
                <w:ilvl w:val="0"/>
                <w:numId w:val="7"/>
              </w:numPr>
              <w:spacing w:after="0" w:line="240" w:lineRule="auto"/>
              <w:jc w:val="both"/>
              <w:rPr>
                <w:rFonts w:ascii="Times New Roman" w:hAnsi="Times New Roman"/>
                <w:sz w:val="24"/>
                <w:szCs w:val="24"/>
              </w:rPr>
            </w:pPr>
            <w:r w:rsidRPr="00DC4B5C">
              <w:rPr>
                <w:rFonts w:ascii="Times New Roman" w:hAnsi="Times New Roman"/>
                <w:sz w:val="24"/>
                <w:szCs w:val="24"/>
              </w:rPr>
              <w:t>Võlakoormuse võimalikult madal tase;</w:t>
            </w:r>
          </w:p>
          <w:p w14:paraId="23E2191C" w14:textId="77777777" w:rsidR="00C22B95" w:rsidRPr="00DC4B5C" w:rsidRDefault="00C22B95" w:rsidP="00C22B95">
            <w:pPr>
              <w:pStyle w:val="Loendilik"/>
              <w:numPr>
                <w:ilvl w:val="0"/>
                <w:numId w:val="7"/>
              </w:numPr>
              <w:spacing w:after="0" w:line="240" w:lineRule="auto"/>
              <w:jc w:val="both"/>
              <w:rPr>
                <w:rFonts w:ascii="Times New Roman" w:hAnsi="Times New Roman"/>
                <w:sz w:val="24"/>
                <w:szCs w:val="24"/>
              </w:rPr>
            </w:pPr>
            <w:r w:rsidRPr="00DC4B5C">
              <w:rPr>
                <w:rFonts w:ascii="Times New Roman" w:hAnsi="Times New Roman"/>
                <w:sz w:val="24"/>
                <w:szCs w:val="24"/>
              </w:rPr>
              <w:t xml:space="preserve">Investeeringud energiasäästu saavutamiseks munitsipaalhoonetes.  </w:t>
            </w:r>
          </w:p>
          <w:p w14:paraId="33E9FF72" w14:textId="77777777" w:rsidR="00C22B95" w:rsidRPr="00DC4B5C" w:rsidRDefault="00C22B95" w:rsidP="00C22B95">
            <w:pPr>
              <w:spacing w:after="0"/>
              <w:jc w:val="both"/>
              <w:rPr>
                <w:rFonts w:ascii="Times New Roman" w:hAnsi="Times New Roman"/>
                <w:sz w:val="24"/>
                <w:szCs w:val="24"/>
              </w:rPr>
            </w:pPr>
          </w:p>
          <w:p w14:paraId="32F97BB3" w14:textId="77777777" w:rsidR="00C22B95" w:rsidRPr="00DC4B5C" w:rsidRDefault="00C22B95" w:rsidP="00C22B95">
            <w:pPr>
              <w:spacing w:after="0"/>
              <w:jc w:val="both"/>
              <w:rPr>
                <w:rFonts w:ascii="Times New Roman" w:hAnsi="Times New Roman"/>
                <w:sz w:val="24"/>
                <w:szCs w:val="24"/>
              </w:rPr>
            </w:pPr>
            <w:r w:rsidRPr="00DC4B5C">
              <w:rPr>
                <w:rFonts w:ascii="Times New Roman" w:hAnsi="Times New Roman"/>
                <w:sz w:val="24"/>
                <w:szCs w:val="24"/>
              </w:rPr>
              <w:t>Nimetatud  eesmärkide  poole  pürgimisel  tuleb  arvestada  reaalse  ümbritseva  majandus-keskkonnaga.</w:t>
            </w:r>
          </w:p>
          <w:p w14:paraId="280B6037" w14:textId="77777777" w:rsidR="00C22B95" w:rsidRPr="00DC4B5C" w:rsidRDefault="00C22B95" w:rsidP="00C22B95">
            <w:pPr>
              <w:spacing w:after="0"/>
              <w:jc w:val="both"/>
              <w:rPr>
                <w:rFonts w:ascii="Times New Roman" w:hAnsi="Times New Roman"/>
                <w:sz w:val="24"/>
                <w:szCs w:val="24"/>
              </w:rPr>
            </w:pPr>
          </w:p>
          <w:p w14:paraId="5776DDD1" w14:textId="77777777" w:rsidR="00C22B95" w:rsidRPr="00DC4B5C" w:rsidRDefault="00C22B95" w:rsidP="00C22B95">
            <w:pPr>
              <w:spacing w:after="0"/>
              <w:jc w:val="both"/>
              <w:rPr>
                <w:rFonts w:ascii="Times New Roman" w:hAnsi="Times New Roman"/>
                <w:b/>
                <w:bCs/>
                <w:sz w:val="24"/>
                <w:szCs w:val="24"/>
              </w:rPr>
            </w:pPr>
            <w:r w:rsidRPr="00DC4B5C">
              <w:rPr>
                <w:rFonts w:ascii="Times New Roman" w:hAnsi="Times New Roman"/>
                <w:b/>
                <w:bCs/>
                <w:sz w:val="24"/>
                <w:szCs w:val="24"/>
              </w:rPr>
              <w:t>Tulud</w:t>
            </w:r>
          </w:p>
          <w:p w14:paraId="062891D7" w14:textId="77777777" w:rsidR="00C22B95" w:rsidRPr="00DC4B5C" w:rsidRDefault="00C22B95" w:rsidP="00C22B95">
            <w:pPr>
              <w:spacing w:after="0"/>
              <w:jc w:val="both"/>
              <w:rPr>
                <w:rFonts w:ascii="Times New Roman" w:hAnsi="Times New Roman"/>
                <w:b/>
                <w:bCs/>
                <w:sz w:val="24"/>
                <w:szCs w:val="24"/>
              </w:rPr>
            </w:pPr>
          </w:p>
          <w:p w14:paraId="5D6FA2B2" w14:textId="77777777" w:rsidR="00C22B95" w:rsidRPr="00DC4B5C" w:rsidRDefault="00C22B95" w:rsidP="00C22B95">
            <w:pPr>
              <w:spacing w:after="0"/>
              <w:jc w:val="both"/>
              <w:rPr>
                <w:rFonts w:ascii="Times New Roman" w:hAnsi="Times New Roman"/>
                <w:sz w:val="24"/>
                <w:szCs w:val="24"/>
              </w:rPr>
            </w:pPr>
            <w:r w:rsidRPr="00DC4B5C">
              <w:rPr>
                <w:rFonts w:ascii="Times New Roman" w:hAnsi="Times New Roman"/>
                <w:b/>
                <w:bCs/>
                <w:sz w:val="24"/>
                <w:szCs w:val="24"/>
              </w:rPr>
              <w:t>Valla tulubaas</w:t>
            </w:r>
            <w:r w:rsidRPr="00DC4B5C">
              <w:rPr>
                <w:rFonts w:ascii="Times New Roman" w:hAnsi="Times New Roman"/>
                <w:sz w:val="24"/>
                <w:szCs w:val="24"/>
              </w:rPr>
              <w:t xml:space="preserve"> sõltub ümbritsevast majanduskeskkonnast ning riigi eelarve- ja regionaalpoliitikast. Eesti kohalike omavalitsuste finantsautonoomia on suhteliselt väike. Enamus tuludest otsustatakse keskvalitsuse tasandil erinevate rahastamismudelite kaudu.</w:t>
            </w:r>
          </w:p>
          <w:p w14:paraId="1EC16C58" w14:textId="77777777" w:rsidR="00C22B95" w:rsidRPr="00DC4B5C" w:rsidRDefault="00C22B95" w:rsidP="00C22B95">
            <w:pPr>
              <w:spacing w:after="0"/>
              <w:jc w:val="both"/>
              <w:rPr>
                <w:rFonts w:ascii="Times New Roman" w:hAnsi="Times New Roman"/>
                <w:sz w:val="24"/>
                <w:szCs w:val="24"/>
              </w:rPr>
            </w:pPr>
            <w:r w:rsidRPr="00DC4B5C">
              <w:rPr>
                <w:rFonts w:ascii="Times New Roman" w:hAnsi="Times New Roman"/>
                <w:sz w:val="24"/>
                <w:szCs w:val="24"/>
              </w:rPr>
              <w:t xml:space="preserve">Kõige otsesemat mõju tulubaasile omavad valla elanike arv (valla eelarvesse laekub </w:t>
            </w:r>
            <w:r w:rsidRPr="00DC4B5C">
              <w:rPr>
                <w:rFonts w:ascii="Times New Roman" w:hAnsi="Times New Roman"/>
                <w:b/>
                <w:bCs/>
                <w:sz w:val="24"/>
                <w:szCs w:val="24"/>
              </w:rPr>
              <w:t>maksumaksjate</w:t>
            </w:r>
            <w:r w:rsidRPr="00DC4B5C">
              <w:rPr>
                <w:rFonts w:ascii="Times New Roman" w:hAnsi="Times New Roman"/>
                <w:sz w:val="24"/>
                <w:szCs w:val="24"/>
              </w:rPr>
              <w:t xml:space="preserve"> tulu, kelle Maksu- ja Tolliameti peetavasse maksukohustuslaste registrisse kantud elukoht on 1. jaanuari seisuga Tapa vald) ja tööturul toimuvad muutused.</w:t>
            </w:r>
          </w:p>
          <w:p w14:paraId="7D663219" w14:textId="77777777" w:rsidR="00C22B95" w:rsidRPr="00DC4B5C" w:rsidRDefault="00C22B95" w:rsidP="00C22B95">
            <w:pPr>
              <w:spacing w:after="0"/>
              <w:jc w:val="both"/>
              <w:rPr>
                <w:rFonts w:ascii="Times New Roman" w:hAnsi="Times New Roman"/>
                <w:sz w:val="24"/>
                <w:szCs w:val="24"/>
              </w:rPr>
            </w:pPr>
          </w:p>
          <w:p w14:paraId="549CE9E2" w14:textId="77777777" w:rsidR="00C22B95" w:rsidRPr="00DC4B5C" w:rsidRDefault="00C22B95" w:rsidP="00C22B95">
            <w:pPr>
              <w:spacing w:after="0"/>
              <w:jc w:val="both"/>
              <w:rPr>
                <w:rFonts w:ascii="Times New Roman" w:hAnsi="Times New Roman"/>
                <w:sz w:val="24"/>
                <w:szCs w:val="24"/>
              </w:rPr>
            </w:pPr>
            <w:r w:rsidRPr="00DC4B5C">
              <w:rPr>
                <w:rFonts w:ascii="Times New Roman" w:hAnsi="Times New Roman"/>
                <w:sz w:val="24"/>
                <w:szCs w:val="24"/>
              </w:rPr>
              <w:t xml:space="preserve">Tulenevalt kohaliku omavalitsuse üksuse finantsjuhtimise seadusest </w:t>
            </w:r>
            <w:r w:rsidRPr="00DC4B5C">
              <w:rPr>
                <w:rFonts w:ascii="Times New Roman" w:hAnsi="Times New Roman"/>
                <w:i/>
                <w:iCs/>
                <w:sz w:val="24"/>
                <w:szCs w:val="24"/>
              </w:rPr>
              <w:t>(KOFS)</w:t>
            </w:r>
            <w:r w:rsidRPr="00DC4B5C">
              <w:rPr>
                <w:rFonts w:ascii="Times New Roman" w:hAnsi="Times New Roman"/>
                <w:sz w:val="24"/>
                <w:szCs w:val="24"/>
              </w:rPr>
              <w:t xml:space="preserve"> käsitletakse eelarve </w:t>
            </w:r>
            <w:r w:rsidRPr="00DC4B5C">
              <w:rPr>
                <w:rFonts w:ascii="Times New Roman" w:hAnsi="Times New Roman"/>
                <w:b/>
                <w:bCs/>
                <w:sz w:val="24"/>
                <w:szCs w:val="24"/>
              </w:rPr>
              <w:t>põhitegevuse tuludena</w:t>
            </w:r>
            <w:r w:rsidRPr="00DC4B5C">
              <w:rPr>
                <w:rFonts w:ascii="Times New Roman" w:hAnsi="Times New Roman"/>
                <w:sz w:val="24"/>
                <w:szCs w:val="24"/>
              </w:rPr>
              <w:t xml:space="preserve"> maksutulusid, tulusid kaupade ja teenuste müügist, saadavaid toetusi ja muid tegevustulusid.</w:t>
            </w:r>
          </w:p>
          <w:p w14:paraId="22C5663C" w14:textId="77777777" w:rsidR="00C22B95" w:rsidRPr="00DC4B5C" w:rsidRDefault="00C22B95" w:rsidP="00C22B95">
            <w:pPr>
              <w:spacing w:after="0"/>
              <w:jc w:val="both"/>
              <w:rPr>
                <w:rFonts w:ascii="Times New Roman" w:hAnsi="Times New Roman"/>
                <w:sz w:val="24"/>
                <w:szCs w:val="24"/>
              </w:rPr>
            </w:pPr>
          </w:p>
          <w:p w14:paraId="09EFCB31" w14:textId="77777777" w:rsidR="00C22B95" w:rsidRPr="00DC4B5C" w:rsidRDefault="00C22B95" w:rsidP="00C22B95">
            <w:pPr>
              <w:spacing w:after="0"/>
              <w:jc w:val="both"/>
              <w:rPr>
                <w:rFonts w:ascii="Times New Roman" w:hAnsi="Times New Roman"/>
                <w:sz w:val="24"/>
                <w:szCs w:val="24"/>
              </w:rPr>
            </w:pPr>
            <w:r w:rsidRPr="00DC4B5C">
              <w:rPr>
                <w:rFonts w:ascii="Times New Roman" w:hAnsi="Times New Roman"/>
                <w:sz w:val="24"/>
                <w:szCs w:val="24"/>
              </w:rPr>
              <w:t xml:space="preserve">Kõige olulisem valla  tuluallikas on </w:t>
            </w:r>
            <w:r w:rsidRPr="00DC4B5C">
              <w:rPr>
                <w:rFonts w:ascii="Times New Roman" w:hAnsi="Times New Roman"/>
                <w:b/>
                <w:bCs/>
                <w:sz w:val="24"/>
                <w:szCs w:val="24"/>
              </w:rPr>
              <w:t>üksikisiku tulumaks</w:t>
            </w:r>
            <w:r w:rsidRPr="00DC4B5C">
              <w:rPr>
                <w:rFonts w:ascii="Times New Roman" w:hAnsi="Times New Roman"/>
                <w:sz w:val="24"/>
                <w:szCs w:val="24"/>
              </w:rPr>
              <w:t xml:space="preserve">, mille laekumine moodustab enam kui 96,5% maksutuludest (97,3% 2024.a.)  ja ligi 52,6% (48,3% 2024.a.) põhitegevuse tuludest. </w:t>
            </w:r>
          </w:p>
          <w:p w14:paraId="4F52BD8A" w14:textId="77777777" w:rsidR="00C22B95" w:rsidRPr="00DC4B5C" w:rsidRDefault="00C22B95" w:rsidP="00C22B95">
            <w:pPr>
              <w:spacing w:after="0"/>
              <w:jc w:val="both"/>
              <w:rPr>
                <w:rFonts w:ascii="Times New Roman" w:hAnsi="Times New Roman"/>
                <w:sz w:val="24"/>
                <w:szCs w:val="24"/>
              </w:rPr>
            </w:pPr>
          </w:p>
          <w:p w14:paraId="343E2D74" w14:textId="77777777" w:rsidR="00C22B95" w:rsidRPr="00DC4B5C" w:rsidRDefault="00C22B95" w:rsidP="00C22B95">
            <w:pPr>
              <w:spacing w:after="0"/>
              <w:jc w:val="both"/>
              <w:rPr>
                <w:rFonts w:ascii="Times New Roman" w:hAnsi="Times New Roman"/>
                <w:color w:val="000000" w:themeColor="text1"/>
                <w:sz w:val="24"/>
                <w:szCs w:val="24"/>
              </w:rPr>
            </w:pPr>
            <w:r w:rsidRPr="00DC4B5C">
              <w:rPr>
                <w:rFonts w:ascii="Times New Roman" w:hAnsi="Times New Roman"/>
                <w:color w:val="000000" w:themeColor="text1"/>
                <w:sz w:val="24"/>
                <w:szCs w:val="24"/>
              </w:rPr>
              <w:t xml:space="preserve">Maa-amet viis 2022. aastal läbi maa korralise hindamise, mille tulemused võeti kasutusele </w:t>
            </w:r>
            <w:r w:rsidRPr="00DC4B5C">
              <w:rPr>
                <w:rFonts w:ascii="Times New Roman" w:hAnsi="Times New Roman"/>
                <w:color w:val="000000" w:themeColor="text1"/>
                <w:sz w:val="24"/>
                <w:szCs w:val="24"/>
              </w:rPr>
              <w:lastRenderedPageBreak/>
              <w:t>alates 2024. aastast. Maamaksu tõus on prognoositud 2025.aastaks 107 000 eurot. Maamaks moodustab põhitegevuse tuludest ligikaudu 1,9%.</w:t>
            </w:r>
          </w:p>
          <w:p w14:paraId="50627835" w14:textId="77777777" w:rsidR="00C22B95" w:rsidRPr="00DC4B5C" w:rsidRDefault="00C22B95" w:rsidP="00C22B95">
            <w:pPr>
              <w:spacing w:after="0"/>
              <w:jc w:val="both"/>
              <w:rPr>
                <w:rFonts w:ascii="Times New Roman" w:hAnsi="Times New Roman"/>
                <w:sz w:val="24"/>
                <w:szCs w:val="24"/>
              </w:rPr>
            </w:pPr>
          </w:p>
          <w:p w14:paraId="6CAA6484" w14:textId="77777777" w:rsidR="00C22B95" w:rsidRPr="00DC4B5C" w:rsidRDefault="00C22B95" w:rsidP="00C22B95">
            <w:pPr>
              <w:spacing w:after="0"/>
              <w:jc w:val="both"/>
              <w:rPr>
                <w:rFonts w:ascii="Times New Roman" w:hAnsi="Times New Roman"/>
                <w:sz w:val="24"/>
                <w:szCs w:val="24"/>
              </w:rPr>
            </w:pPr>
            <w:r w:rsidRPr="00DC4B5C">
              <w:rPr>
                <w:rFonts w:ascii="Times New Roman" w:hAnsi="Times New Roman"/>
                <w:sz w:val="24"/>
                <w:szCs w:val="24"/>
              </w:rPr>
              <w:t xml:space="preserve">Perioodil 2021-2023 on </w:t>
            </w:r>
            <w:r w:rsidRPr="00DC4B5C">
              <w:rPr>
                <w:rFonts w:ascii="Times New Roman" w:hAnsi="Times New Roman"/>
                <w:b/>
                <w:bCs/>
                <w:sz w:val="24"/>
                <w:szCs w:val="24"/>
              </w:rPr>
              <w:t>maksumaksjate arv</w:t>
            </w:r>
            <w:r w:rsidRPr="00DC4B5C">
              <w:rPr>
                <w:rFonts w:ascii="Times New Roman" w:hAnsi="Times New Roman"/>
                <w:sz w:val="24"/>
                <w:szCs w:val="24"/>
              </w:rPr>
              <w:t xml:space="preserve"> püsinud suhteliselt stabiilsena. Samas võib viimaste aastate tulemuste alusel 2024 lõpuks  ennustada maksumaksjate arv ca 4 900. Perioodil 2022-2024 on inimeste sissetulekute ja tulumaksu laekumise kasv olnud üle 7% aastas. </w:t>
            </w:r>
          </w:p>
          <w:p w14:paraId="5FDEFEEF" w14:textId="77777777" w:rsidR="00C22B95" w:rsidRPr="00DC4B5C" w:rsidRDefault="00C22B95" w:rsidP="00C22B95">
            <w:pPr>
              <w:spacing w:after="0"/>
              <w:jc w:val="both"/>
              <w:rPr>
                <w:rFonts w:ascii="Times New Roman" w:hAnsi="Times New Roman"/>
                <w:sz w:val="24"/>
                <w:szCs w:val="24"/>
              </w:rPr>
            </w:pPr>
          </w:p>
          <w:p w14:paraId="08E6EEB8" w14:textId="77777777" w:rsidR="00C22B95" w:rsidRPr="00DC4B5C" w:rsidRDefault="00C22B95" w:rsidP="00C22B95">
            <w:pPr>
              <w:pStyle w:val="Body"/>
              <w:jc w:val="both"/>
              <w:rPr>
                <w:rFonts w:ascii="Times New Roman" w:hAnsi="Times New Roman" w:cs="Times New Roman"/>
                <w:sz w:val="24"/>
                <w:szCs w:val="24"/>
                <w:lang w:val="et-EE"/>
              </w:rPr>
            </w:pPr>
            <w:r w:rsidRPr="00DC4B5C">
              <w:rPr>
                <w:rFonts w:ascii="Times New Roman" w:hAnsi="Times New Roman" w:cs="Times New Roman"/>
                <w:sz w:val="24"/>
                <w:szCs w:val="24"/>
                <w:lang w:val="et-EE"/>
              </w:rPr>
              <w:t xml:space="preserve">Põhitegevuse tulude prognoosi eeldused eelarvestrateegia perioodil 2025–2029: </w:t>
            </w:r>
          </w:p>
          <w:p w14:paraId="1E60BECB" w14:textId="77777777" w:rsidR="00C22B95" w:rsidRPr="00DC4B5C" w:rsidRDefault="00C22B95" w:rsidP="00EA48CF">
            <w:pPr>
              <w:numPr>
                <w:ilvl w:val="0"/>
                <w:numId w:val="9"/>
              </w:numPr>
              <w:spacing w:after="0"/>
              <w:ind w:left="720" w:hanging="294"/>
              <w:jc w:val="both"/>
              <w:rPr>
                <w:rFonts w:ascii="Times New Roman" w:hAnsi="Times New Roman"/>
                <w:sz w:val="24"/>
                <w:szCs w:val="24"/>
              </w:rPr>
            </w:pPr>
            <w:r w:rsidRPr="00DC4B5C">
              <w:rPr>
                <w:rFonts w:ascii="Times New Roman" w:hAnsi="Times New Roman"/>
                <w:sz w:val="24"/>
                <w:szCs w:val="24"/>
              </w:rPr>
              <w:t xml:space="preserve">Tapa valla elanike ja maksumaksjate arv oluliselt ei muutu, brutosissetulek jätkab tõusu, tulumaksu laekumise kasvab; </w:t>
            </w:r>
          </w:p>
          <w:p w14:paraId="00844333" w14:textId="77777777" w:rsidR="00C22B95" w:rsidRPr="00DC4B5C" w:rsidRDefault="00C22B95" w:rsidP="00C22B95">
            <w:pPr>
              <w:pStyle w:val="Loendilik"/>
              <w:numPr>
                <w:ilvl w:val="0"/>
                <w:numId w:val="10"/>
              </w:numPr>
              <w:spacing w:after="0"/>
              <w:jc w:val="both"/>
              <w:rPr>
                <w:rFonts w:ascii="Times New Roman" w:hAnsi="Times New Roman"/>
                <w:color w:val="000000" w:themeColor="text1"/>
                <w:sz w:val="24"/>
                <w:szCs w:val="24"/>
              </w:rPr>
            </w:pPr>
            <w:r w:rsidRPr="00DC4B5C">
              <w:rPr>
                <w:rFonts w:ascii="Times New Roman" w:hAnsi="Times New Roman"/>
                <w:color w:val="000000" w:themeColor="text1"/>
                <w:sz w:val="24"/>
                <w:szCs w:val="24"/>
              </w:rPr>
              <w:t>2024.aasta 8 kuu tulumaksu laekumine on 13,04 % suurem võrreldes 2023.aasta sama perioodiga. 2025.aastal planeeritud maksutulu suurendada ca 5%. Pikemas prognoosis (2026-2029) 4-6%. Jälgitud on konservatiivsuse printsiipi. Maksumaksjate arv on seisuga 31.07.2024 võrreldes 2023.aasta sama perioodiga suurenenud 903 töötaja võrra.</w:t>
            </w:r>
          </w:p>
          <w:p w14:paraId="6D1299A5" w14:textId="512F6EEE" w:rsidR="00C22B95" w:rsidRPr="00DC4B5C" w:rsidRDefault="00C22B95" w:rsidP="00C22B95">
            <w:pPr>
              <w:pStyle w:val="Loendilik"/>
              <w:numPr>
                <w:ilvl w:val="0"/>
                <w:numId w:val="10"/>
              </w:numPr>
              <w:spacing w:after="0"/>
              <w:jc w:val="both"/>
              <w:rPr>
                <w:rFonts w:ascii="Times New Roman" w:hAnsi="Times New Roman"/>
                <w:color w:val="000000" w:themeColor="text1"/>
                <w:sz w:val="24"/>
                <w:szCs w:val="24"/>
              </w:rPr>
            </w:pPr>
            <w:r w:rsidRPr="00DC4B5C">
              <w:rPr>
                <w:rFonts w:ascii="Times New Roman" w:hAnsi="Times New Roman"/>
                <w:color w:val="000000" w:themeColor="text1"/>
                <w:sz w:val="24"/>
                <w:szCs w:val="24"/>
              </w:rPr>
              <w:t>Elanikkonna suurus on püsinud stabiilsena</w:t>
            </w:r>
            <w:r w:rsidR="00605EB3">
              <w:rPr>
                <w:rFonts w:ascii="Times New Roman" w:hAnsi="Times New Roman"/>
                <w:color w:val="000000" w:themeColor="text1"/>
                <w:sz w:val="24"/>
                <w:szCs w:val="24"/>
              </w:rPr>
              <w:t>.</w:t>
            </w:r>
            <w:r w:rsidRPr="00DC4B5C">
              <w:rPr>
                <w:rFonts w:ascii="Times New Roman" w:hAnsi="Times New Roman"/>
                <w:color w:val="000000" w:themeColor="text1"/>
                <w:sz w:val="24"/>
                <w:szCs w:val="24"/>
              </w:rPr>
              <w:t xml:space="preserve"> </w:t>
            </w:r>
          </w:p>
          <w:p w14:paraId="7D9D4FE4" w14:textId="77777777" w:rsidR="00C22B95" w:rsidRPr="00DC4B5C" w:rsidRDefault="00C22B95" w:rsidP="00C22B95">
            <w:pPr>
              <w:pStyle w:val="Loendilik"/>
              <w:numPr>
                <w:ilvl w:val="0"/>
                <w:numId w:val="10"/>
              </w:numPr>
              <w:spacing w:after="0"/>
              <w:jc w:val="both"/>
              <w:rPr>
                <w:rFonts w:ascii="Times New Roman" w:hAnsi="Times New Roman"/>
                <w:color w:val="000000" w:themeColor="text1"/>
                <w:sz w:val="24"/>
                <w:szCs w:val="24"/>
              </w:rPr>
            </w:pPr>
            <w:r w:rsidRPr="00DC4B5C">
              <w:rPr>
                <w:rFonts w:ascii="Times New Roman" w:hAnsi="Times New Roman"/>
                <w:color w:val="000000" w:themeColor="text1"/>
                <w:sz w:val="24"/>
                <w:szCs w:val="24"/>
              </w:rPr>
              <w:t>2025.aastal laekub omavalitsusele 2,5% riiklikust pensionitulust. Seisuga 31.07.2024 oli Tapa vallas  2 968 pensioni saajat. 2,5% laekumine 31.07.2024 seisuga oli 56 764 eurot ja keskmine pension Tapa vallas 766 eurot.</w:t>
            </w:r>
          </w:p>
          <w:p w14:paraId="170EDA70" w14:textId="77777777" w:rsidR="00C22B95" w:rsidRDefault="00C22B95" w:rsidP="00C22B95">
            <w:pPr>
              <w:pStyle w:val="Loendilik"/>
              <w:numPr>
                <w:ilvl w:val="0"/>
                <w:numId w:val="10"/>
              </w:numPr>
              <w:spacing w:after="0"/>
              <w:jc w:val="both"/>
              <w:rPr>
                <w:rFonts w:ascii="Times New Roman" w:hAnsi="Times New Roman"/>
                <w:color w:val="000000" w:themeColor="text1"/>
                <w:sz w:val="24"/>
                <w:szCs w:val="24"/>
              </w:rPr>
            </w:pPr>
            <w:r w:rsidRPr="00DC4B5C">
              <w:rPr>
                <w:rFonts w:ascii="Times New Roman" w:hAnsi="Times New Roman"/>
                <w:color w:val="000000" w:themeColor="text1"/>
                <w:sz w:val="24"/>
                <w:szCs w:val="24"/>
              </w:rPr>
              <w:t>Füüsilise isiku tulumaksu muutused: 2025. aastal 11,29% ja pensionituludelt 5,5%, 2026. aastal 10,64% ja pensionituludelt 8,5% ja 2027. aastal 10,23% ja pensionituludelt 10,23%;</w:t>
            </w:r>
          </w:p>
          <w:p w14:paraId="2FDEB0DD" w14:textId="77777777" w:rsidR="00C22B95" w:rsidRPr="00DC4B5C" w:rsidRDefault="00C22B95" w:rsidP="00C22B95">
            <w:pPr>
              <w:pStyle w:val="Loendilik"/>
              <w:numPr>
                <w:ilvl w:val="0"/>
                <w:numId w:val="10"/>
              </w:numPr>
              <w:spacing w:after="0"/>
              <w:jc w:val="both"/>
              <w:rPr>
                <w:rFonts w:ascii="Times New Roman" w:hAnsi="Times New Roman"/>
                <w:color w:val="000000" w:themeColor="text1"/>
                <w:sz w:val="24"/>
                <w:szCs w:val="24"/>
              </w:rPr>
            </w:pPr>
            <w:r w:rsidRPr="00DC4B5C">
              <w:rPr>
                <w:rFonts w:ascii="Times New Roman" w:hAnsi="Times New Roman"/>
                <w:color w:val="000000" w:themeColor="text1"/>
                <w:sz w:val="24"/>
                <w:szCs w:val="24"/>
              </w:rPr>
              <w:t>2022.aasta maa korralise  hindamise tulemused võeti kasutusele alates 1. jaanuarist 2024 ning 2025.aastaks on prognoositud maamaksu laekumise suurenemine;</w:t>
            </w:r>
          </w:p>
          <w:p w14:paraId="0D33CE47" w14:textId="77777777" w:rsidR="00C22B95" w:rsidRPr="00DC4B5C" w:rsidRDefault="00C22B95" w:rsidP="00C22B95">
            <w:pPr>
              <w:numPr>
                <w:ilvl w:val="0"/>
                <w:numId w:val="11"/>
              </w:numPr>
              <w:spacing w:after="0" w:line="278" w:lineRule="auto"/>
              <w:ind w:left="714" w:hanging="357"/>
              <w:jc w:val="both"/>
              <w:rPr>
                <w:rFonts w:ascii="Times New Roman" w:hAnsi="Times New Roman"/>
                <w:color w:val="000000" w:themeColor="text1"/>
                <w:sz w:val="24"/>
                <w:szCs w:val="24"/>
              </w:rPr>
            </w:pPr>
            <w:r w:rsidRPr="00DC4B5C">
              <w:rPr>
                <w:rFonts w:ascii="Times New Roman" w:hAnsi="Times New Roman"/>
                <w:color w:val="000000" w:themeColor="text1"/>
                <w:sz w:val="24"/>
                <w:szCs w:val="24"/>
              </w:rPr>
              <w:t xml:space="preserve">uusi kohalikke makse ei kehtestata; </w:t>
            </w:r>
          </w:p>
          <w:p w14:paraId="177D31EB" w14:textId="77777777" w:rsidR="00C22B95" w:rsidRPr="00DC4B5C" w:rsidRDefault="00C22B95" w:rsidP="00C22B95">
            <w:pPr>
              <w:numPr>
                <w:ilvl w:val="0"/>
                <w:numId w:val="11"/>
              </w:numPr>
              <w:spacing w:after="0" w:line="278" w:lineRule="auto"/>
              <w:ind w:left="714" w:hanging="357"/>
              <w:jc w:val="both"/>
              <w:rPr>
                <w:rFonts w:ascii="Times New Roman" w:hAnsi="Times New Roman"/>
                <w:color w:val="000000" w:themeColor="text1"/>
                <w:sz w:val="24"/>
                <w:szCs w:val="24"/>
              </w:rPr>
            </w:pPr>
            <w:r w:rsidRPr="00DC4B5C">
              <w:rPr>
                <w:rFonts w:ascii="Times New Roman" w:hAnsi="Times New Roman"/>
                <w:color w:val="000000" w:themeColor="text1"/>
                <w:sz w:val="24"/>
                <w:szCs w:val="24"/>
              </w:rPr>
              <w:t>kaupade ja teenuste müügitulu võrreldes 2024.aastaga suurendatud 5%.</w:t>
            </w:r>
          </w:p>
          <w:p w14:paraId="38F0B9B9" w14:textId="77777777" w:rsidR="00C22B95" w:rsidRPr="00DC4B5C" w:rsidRDefault="00C22B95" w:rsidP="00C22B95">
            <w:pPr>
              <w:numPr>
                <w:ilvl w:val="0"/>
                <w:numId w:val="11"/>
              </w:numPr>
              <w:spacing w:after="0" w:line="278" w:lineRule="auto"/>
              <w:ind w:left="714" w:hanging="357"/>
              <w:jc w:val="both"/>
              <w:rPr>
                <w:rFonts w:ascii="Times New Roman" w:hAnsi="Times New Roman"/>
                <w:color w:val="000000" w:themeColor="text1"/>
                <w:sz w:val="24"/>
                <w:szCs w:val="24"/>
              </w:rPr>
            </w:pPr>
            <w:r w:rsidRPr="00DC4B5C">
              <w:rPr>
                <w:rFonts w:ascii="Times New Roman" w:hAnsi="Times New Roman"/>
                <w:color w:val="000000" w:themeColor="text1"/>
                <w:sz w:val="24"/>
                <w:szCs w:val="24"/>
              </w:rPr>
              <w:t>prognoositud on edasimüüdud teenuste hinna kasvu</w:t>
            </w:r>
          </w:p>
          <w:p w14:paraId="0611AE46" w14:textId="77777777" w:rsidR="00C22B95" w:rsidRPr="00DC4B5C" w:rsidRDefault="00C22B95" w:rsidP="00C22B95">
            <w:pPr>
              <w:pStyle w:val="Loendilik"/>
              <w:numPr>
                <w:ilvl w:val="0"/>
                <w:numId w:val="11"/>
              </w:numPr>
              <w:spacing w:after="160" w:line="278" w:lineRule="auto"/>
              <w:jc w:val="both"/>
              <w:rPr>
                <w:rFonts w:ascii="Times New Roman" w:hAnsi="Times New Roman"/>
                <w:color w:val="000000" w:themeColor="text1"/>
                <w:sz w:val="24"/>
                <w:szCs w:val="24"/>
              </w:rPr>
            </w:pPr>
            <w:r w:rsidRPr="00DC4B5C">
              <w:rPr>
                <w:rFonts w:ascii="Times New Roman" w:hAnsi="Times New Roman"/>
                <w:color w:val="000000" w:themeColor="text1"/>
                <w:sz w:val="24"/>
                <w:szCs w:val="24"/>
              </w:rPr>
              <w:t>2026.aastal on planeeritud eeldatavalt valmiva Tapa veekeskuse töö ja sellega seoses võtab Tapa vald endale pikaajalise kohustuse teenuste ostmisel. Prognoositud on edasimüüdavate  teenuste eest tulu 50% (iga-aastane kohustus teenuseid osta on 400 000 eurot);</w:t>
            </w:r>
          </w:p>
          <w:p w14:paraId="6F577284" w14:textId="77777777" w:rsidR="00C22B95" w:rsidRPr="00DC4B5C" w:rsidRDefault="00C22B95" w:rsidP="00C22B95">
            <w:pPr>
              <w:pStyle w:val="Loendilik"/>
              <w:numPr>
                <w:ilvl w:val="0"/>
                <w:numId w:val="11"/>
              </w:numPr>
              <w:spacing w:after="160" w:line="278" w:lineRule="auto"/>
              <w:jc w:val="both"/>
              <w:rPr>
                <w:rFonts w:ascii="Times New Roman" w:hAnsi="Times New Roman"/>
                <w:color w:val="000000" w:themeColor="text1"/>
                <w:sz w:val="24"/>
                <w:szCs w:val="24"/>
              </w:rPr>
            </w:pPr>
            <w:r w:rsidRPr="00DC4B5C">
              <w:rPr>
                <w:rFonts w:ascii="Times New Roman" w:hAnsi="Times New Roman"/>
                <w:color w:val="000000" w:themeColor="text1"/>
                <w:sz w:val="24"/>
                <w:szCs w:val="24"/>
              </w:rPr>
              <w:t xml:space="preserve">riigieelarvelised eraldised 2024. aasta tasemel; </w:t>
            </w:r>
          </w:p>
          <w:p w14:paraId="08D12FE9" w14:textId="77777777" w:rsidR="00C22B95" w:rsidRPr="00DC4B5C" w:rsidRDefault="00C22B95" w:rsidP="00C22B95">
            <w:pPr>
              <w:spacing w:after="0"/>
              <w:jc w:val="both"/>
              <w:rPr>
                <w:rFonts w:ascii="Times New Roman" w:hAnsi="Times New Roman"/>
                <w:b/>
                <w:bCs/>
                <w:sz w:val="24"/>
                <w:szCs w:val="24"/>
              </w:rPr>
            </w:pPr>
            <w:r w:rsidRPr="00DC4B5C">
              <w:rPr>
                <w:rFonts w:ascii="Times New Roman" w:hAnsi="Times New Roman"/>
                <w:b/>
                <w:bCs/>
                <w:sz w:val="24"/>
                <w:szCs w:val="24"/>
              </w:rPr>
              <w:t xml:space="preserve">Prognoosi kohaselt põhitegevuse tulud suurenevad 2029. aastaks ca 13,7% võrra 25,27 miljoni euroni. </w:t>
            </w:r>
          </w:p>
          <w:p w14:paraId="5C27BE28" w14:textId="77777777" w:rsidR="00C22B95" w:rsidRPr="00DC4B5C" w:rsidRDefault="00C22B95" w:rsidP="00C22B95">
            <w:pPr>
              <w:spacing w:after="0"/>
              <w:jc w:val="both"/>
              <w:rPr>
                <w:rFonts w:ascii="Times New Roman" w:hAnsi="Times New Roman"/>
                <w:bCs/>
                <w:sz w:val="24"/>
                <w:szCs w:val="24"/>
              </w:rPr>
            </w:pPr>
          </w:p>
          <w:p w14:paraId="7BB6ED6D" w14:textId="77777777" w:rsidR="00C22B95" w:rsidRPr="00DC4B5C" w:rsidRDefault="00C22B95" w:rsidP="00C22B95">
            <w:pPr>
              <w:spacing w:after="0"/>
              <w:jc w:val="both"/>
              <w:rPr>
                <w:rFonts w:ascii="Times New Roman" w:hAnsi="Times New Roman"/>
                <w:b/>
                <w:sz w:val="24"/>
                <w:szCs w:val="24"/>
              </w:rPr>
            </w:pPr>
            <w:r w:rsidRPr="00DC4B5C">
              <w:rPr>
                <w:rFonts w:ascii="Times New Roman" w:hAnsi="Times New Roman"/>
                <w:b/>
                <w:sz w:val="24"/>
                <w:szCs w:val="24"/>
              </w:rPr>
              <w:t>Kulud</w:t>
            </w:r>
          </w:p>
          <w:p w14:paraId="33BF7A31" w14:textId="77777777" w:rsidR="00C22B95" w:rsidRPr="00DC4B5C" w:rsidRDefault="00C22B95" w:rsidP="00C22B95">
            <w:pPr>
              <w:spacing w:after="0"/>
              <w:jc w:val="both"/>
              <w:rPr>
                <w:rFonts w:ascii="Times New Roman" w:hAnsi="Times New Roman"/>
                <w:bCs/>
                <w:sz w:val="24"/>
                <w:szCs w:val="24"/>
              </w:rPr>
            </w:pPr>
          </w:p>
          <w:p w14:paraId="53BF6C90" w14:textId="77777777" w:rsidR="00C22B95" w:rsidRPr="00DC4B5C" w:rsidRDefault="00C22B95" w:rsidP="00C22B95">
            <w:pPr>
              <w:spacing w:after="0"/>
              <w:jc w:val="both"/>
              <w:rPr>
                <w:rFonts w:ascii="Times New Roman" w:hAnsi="Times New Roman"/>
                <w:sz w:val="24"/>
                <w:szCs w:val="24"/>
              </w:rPr>
            </w:pPr>
            <w:r w:rsidRPr="00DC4B5C">
              <w:rPr>
                <w:rFonts w:ascii="Times New Roman" w:hAnsi="Times New Roman"/>
                <w:sz w:val="24"/>
                <w:szCs w:val="24"/>
              </w:rPr>
              <w:t xml:space="preserve">Eelarvestrateegia perioodil on </w:t>
            </w:r>
            <w:r w:rsidRPr="00DC4B5C">
              <w:rPr>
                <w:rFonts w:ascii="Times New Roman" w:hAnsi="Times New Roman"/>
                <w:bCs/>
                <w:sz w:val="24"/>
                <w:szCs w:val="24"/>
              </w:rPr>
              <w:t>tegevuskulude</w:t>
            </w:r>
            <w:r w:rsidRPr="00DC4B5C">
              <w:rPr>
                <w:rFonts w:ascii="Times New Roman" w:hAnsi="Times New Roman"/>
                <w:sz w:val="24"/>
                <w:szCs w:val="24"/>
              </w:rPr>
              <w:t xml:space="preserve">  kavandamisel lähtutud eelkõige seadusejärgsete avalike teenuste osutamiseks vajalike kulude katmisega. </w:t>
            </w:r>
          </w:p>
          <w:p w14:paraId="71B4A414" w14:textId="77777777" w:rsidR="00C22B95" w:rsidRPr="00DC4B5C" w:rsidRDefault="00C22B95" w:rsidP="00C22B95">
            <w:pPr>
              <w:spacing w:after="0"/>
              <w:jc w:val="both"/>
              <w:rPr>
                <w:rFonts w:ascii="Times New Roman" w:hAnsi="Times New Roman"/>
                <w:sz w:val="24"/>
                <w:szCs w:val="24"/>
              </w:rPr>
            </w:pPr>
          </w:p>
          <w:p w14:paraId="3A079651" w14:textId="77777777" w:rsidR="00C22B95" w:rsidRPr="00DC4B5C" w:rsidRDefault="00C22B95" w:rsidP="00C22B95">
            <w:pPr>
              <w:spacing w:after="0"/>
              <w:jc w:val="both"/>
              <w:rPr>
                <w:rFonts w:ascii="Times New Roman" w:hAnsi="Times New Roman"/>
                <w:sz w:val="24"/>
                <w:szCs w:val="24"/>
              </w:rPr>
            </w:pPr>
            <w:r w:rsidRPr="00DC4B5C">
              <w:rPr>
                <w:rFonts w:ascii="Times New Roman" w:hAnsi="Times New Roman"/>
                <w:b/>
                <w:bCs/>
                <w:sz w:val="24"/>
                <w:szCs w:val="24"/>
              </w:rPr>
              <w:t>Põhitegevuse kuludena</w:t>
            </w:r>
            <w:r w:rsidRPr="00DC4B5C">
              <w:rPr>
                <w:rFonts w:ascii="Times New Roman" w:hAnsi="Times New Roman"/>
                <w:sz w:val="24"/>
                <w:szCs w:val="24"/>
              </w:rPr>
              <w:t xml:space="preserve"> käsitletakse eelarvestrateegias tulenevalt KOFS-i regulatsioonist antavaid toetusi ja muid tegevuskulusid sh personalikulud, majandamiskulud ja muud kulud.</w:t>
            </w:r>
          </w:p>
          <w:p w14:paraId="501E6F6D" w14:textId="77777777" w:rsidR="00C22B95" w:rsidRPr="00DC4B5C" w:rsidRDefault="00C22B95" w:rsidP="00C22B95">
            <w:pPr>
              <w:spacing w:after="0"/>
              <w:jc w:val="both"/>
              <w:rPr>
                <w:rFonts w:ascii="Times New Roman" w:hAnsi="Times New Roman"/>
                <w:sz w:val="24"/>
                <w:szCs w:val="24"/>
              </w:rPr>
            </w:pPr>
          </w:p>
          <w:p w14:paraId="3AA585CF" w14:textId="77777777" w:rsidR="00C22B95" w:rsidRPr="00DC4B5C" w:rsidRDefault="00C22B95" w:rsidP="00C22B95">
            <w:pPr>
              <w:spacing w:after="0"/>
              <w:jc w:val="both"/>
              <w:rPr>
                <w:rFonts w:ascii="Times New Roman" w:hAnsi="Times New Roman"/>
                <w:sz w:val="24"/>
                <w:szCs w:val="24"/>
              </w:rPr>
            </w:pPr>
            <w:r w:rsidRPr="00DC4B5C">
              <w:rPr>
                <w:rFonts w:ascii="Times New Roman" w:hAnsi="Times New Roman"/>
                <w:sz w:val="24"/>
                <w:szCs w:val="24"/>
              </w:rPr>
              <w:t xml:space="preserve">Põhitegevuse kulude samal tasemel hoidmiseks ulatusliku kaupade/teenuste sh energia hinnatõusu tingimustes tuleb rakendada kõik valla hallatavate asutuste ühise ökonoomsema </w:t>
            </w:r>
            <w:r w:rsidRPr="00DC4B5C">
              <w:rPr>
                <w:rFonts w:ascii="Times New Roman" w:hAnsi="Times New Roman"/>
                <w:sz w:val="24"/>
                <w:szCs w:val="24"/>
              </w:rPr>
              <w:lastRenderedPageBreak/>
              <w:t>majandamise võimalused sh alaeelarvete sisemiste ressursside kasutamine, valla varaga seotud kulude alandamine, mittevajaliku vara võõrandamine, energiasäästu meetmete rakendamine jt.</w:t>
            </w:r>
          </w:p>
          <w:p w14:paraId="7B0B2E89" w14:textId="77777777" w:rsidR="00C22B95" w:rsidRPr="00DC4B5C" w:rsidRDefault="00C22B95" w:rsidP="00C22B95">
            <w:pPr>
              <w:spacing w:after="0"/>
              <w:jc w:val="both"/>
              <w:rPr>
                <w:rFonts w:ascii="Times New Roman" w:hAnsi="Times New Roman"/>
                <w:sz w:val="24"/>
                <w:szCs w:val="24"/>
              </w:rPr>
            </w:pPr>
          </w:p>
          <w:p w14:paraId="770543E3" w14:textId="77777777" w:rsidR="00C22B95" w:rsidRPr="00DC4B5C" w:rsidRDefault="00C22B95" w:rsidP="00C22B95">
            <w:pPr>
              <w:jc w:val="both"/>
              <w:rPr>
                <w:rFonts w:ascii="Times New Roman" w:hAnsi="Times New Roman"/>
                <w:sz w:val="24"/>
                <w:szCs w:val="24"/>
              </w:rPr>
            </w:pPr>
            <w:r w:rsidRPr="00DC4B5C">
              <w:rPr>
                <w:rFonts w:ascii="Times New Roman" w:hAnsi="Times New Roman"/>
                <w:sz w:val="24"/>
                <w:szCs w:val="24"/>
              </w:rPr>
              <w:t xml:space="preserve">Põhitegevuse kulud on prognoositud järgmistel eeldustel: </w:t>
            </w:r>
          </w:p>
          <w:p w14:paraId="200A6110" w14:textId="77777777" w:rsidR="00C22B95" w:rsidRPr="00DC4B5C" w:rsidRDefault="00C22B95" w:rsidP="00C22B95">
            <w:pPr>
              <w:pStyle w:val="Loendilik"/>
              <w:numPr>
                <w:ilvl w:val="0"/>
                <w:numId w:val="12"/>
              </w:numPr>
              <w:spacing w:after="0" w:line="278" w:lineRule="auto"/>
              <w:ind w:left="284" w:hanging="284"/>
              <w:jc w:val="both"/>
              <w:rPr>
                <w:rFonts w:ascii="Times New Roman" w:hAnsi="Times New Roman"/>
                <w:color w:val="000000" w:themeColor="text1"/>
                <w:sz w:val="24"/>
                <w:szCs w:val="24"/>
              </w:rPr>
            </w:pPr>
            <w:r w:rsidRPr="00DC4B5C">
              <w:rPr>
                <w:rFonts w:ascii="Times New Roman" w:hAnsi="Times New Roman"/>
                <w:color w:val="000000" w:themeColor="text1"/>
                <w:sz w:val="24"/>
                <w:szCs w:val="24"/>
              </w:rPr>
              <w:t xml:space="preserve">Rahandusministeeriumi majandusprognoos näitab inflatsiooni langust alates 2026 aastast. </w:t>
            </w:r>
          </w:p>
          <w:p w14:paraId="493A778E" w14:textId="77777777" w:rsidR="00C22B95" w:rsidRPr="00DC4B5C" w:rsidRDefault="00C22B95" w:rsidP="00C22B95">
            <w:pPr>
              <w:numPr>
                <w:ilvl w:val="0"/>
                <w:numId w:val="12"/>
              </w:numPr>
              <w:spacing w:after="0"/>
              <w:ind w:left="284" w:hanging="284"/>
              <w:jc w:val="both"/>
              <w:rPr>
                <w:rFonts w:ascii="Times New Roman" w:hAnsi="Times New Roman"/>
                <w:color w:val="000000" w:themeColor="text1"/>
                <w:sz w:val="24"/>
                <w:szCs w:val="24"/>
              </w:rPr>
            </w:pPr>
            <w:r w:rsidRPr="00DC4B5C">
              <w:rPr>
                <w:rFonts w:ascii="Times New Roman" w:hAnsi="Times New Roman"/>
                <w:color w:val="000000" w:themeColor="text1"/>
                <w:sz w:val="24"/>
                <w:szCs w:val="24"/>
              </w:rPr>
              <w:t>antavad toetused planeeritakse strateegiaperioodil samas suurusjärgus kui 2024. aastal;</w:t>
            </w:r>
          </w:p>
          <w:p w14:paraId="63096D22" w14:textId="77777777" w:rsidR="00C22B95" w:rsidRPr="00DC4B5C" w:rsidRDefault="00C22B95" w:rsidP="00C22B95">
            <w:pPr>
              <w:numPr>
                <w:ilvl w:val="0"/>
                <w:numId w:val="12"/>
              </w:numPr>
              <w:spacing w:after="0"/>
              <w:ind w:left="284" w:hanging="284"/>
              <w:jc w:val="both"/>
              <w:rPr>
                <w:rFonts w:ascii="Times New Roman" w:hAnsi="Times New Roman"/>
                <w:color w:val="000000" w:themeColor="text1"/>
                <w:sz w:val="24"/>
                <w:szCs w:val="24"/>
              </w:rPr>
            </w:pPr>
            <w:r w:rsidRPr="00DC4B5C">
              <w:rPr>
                <w:rFonts w:ascii="Times New Roman" w:hAnsi="Times New Roman"/>
                <w:color w:val="000000" w:themeColor="text1"/>
                <w:sz w:val="24"/>
                <w:szCs w:val="24"/>
              </w:rPr>
              <w:t xml:space="preserve">personalikulud prognoositakse 1-2% kasvuga;  </w:t>
            </w:r>
          </w:p>
          <w:p w14:paraId="7BAC966D" w14:textId="77777777" w:rsidR="00C22B95" w:rsidRPr="00DC4B5C" w:rsidRDefault="00C22B95" w:rsidP="00C22B95">
            <w:pPr>
              <w:numPr>
                <w:ilvl w:val="0"/>
                <w:numId w:val="12"/>
              </w:numPr>
              <w:spacing w:after="0"/>
              <w:jc w:val="both"/>
              <w:rPr>
                <w:rFonts w:ascii="Times New Roman" w:hAnsi="Times New Roman"/>
                <w:color w:val="000000" w:themeColor="text1"/>
                <w:sz w:val="24"/>
                <w:szCs w:val="24"/>
              </w:rPr>
            </w:pPr>
            <w:r w:rsidRPr="00DC4B5C">
              <w:rPr>
                <w:rFonts w:ascii="Times New Roman" w:hAnsi="Times New Roman"/>
                <w:color w:val="000000" w:themeColor="text1"/>
                <w:sz w:val="24"/>
                <w:szCs w:val="24"/>
              </w:rPr>
              <w:t>majandamiskulud on 2023.aastaga võrreldes vähenenud 4%. 2025.aastal planeeritakse majandamiskulude vähendamist 4%. Investeeringuid on tehtud hoonete energiatõhususe muutmiseks, mis peaks andma kokkuhoidu ülalpidamiskuludeks. 2026.aastal prognoositakse 5% majandamiskulude tõusu (arvesse võetud riigi kaudsete maksude tõus ja kaupade teenuste hinnatundlikkus);</w:t>
            </w:r>
          </w:p>
          <w:p w14:paraId="2713D513" w14:textId="77777777" w:rsidR="00C22B95" w:rsidRPr="00DC4B5C" w:rsidRDefault="00C22B95" w:rsidP="00C22B95">
            <w:pPr>
              <w:numPr>
                <w:ilvl w:val="0"/>
                <w:numId w:val="12"/>
              </w:numPr>
              <w:spacing w:after="0"/>
              <w:jc w:val="both"/>
              <w:rPr>
                <w:rFonts w:ascii="Times New Roman" w:hAnsi="Times New Roman"/>
                <w:color w:val="000000" w:themeColor="text1"/>
                <w:sz w:val="24"/>
                <w:szCs w:val="24"/>
              </w:rPr>
            </w:pPr>
            <w:r w:rsidRPr="00DC4B5C">
              <w:rPr>
                <w:rFonts w:ascii="Times New Roman" w:hAnsi="Times New Roman"/>
                <w:color w:val="000000" w:themeColor="text1"/>
                <w:sz w:val="24"/>
                <w:szCs w:val="24"/>
              </w:rPr>
              <w:t>2026.aastal on planeeritud eeldatavalt valmiva Tapa veekeskuse töö ja sellega seoses võtab Tapa vald endale pikaajalise kohustuse teenuste ostmisel. Prognoositud on iga-aastane kohustus teenuseid ostuks 400 000 eurot.</w:t>
            </w:r>
          </w:p>
          <w:p w14:paraId="3EE20EF2" w14:textId="77777777" w:rsidR="00C22B95" w:rsidRPr="00DC4B5C" w:rsidRDefault="00C22B95" w:rsidP="00C22B95">
            <w:pPr>
              <w:numPr>
                <w:ilvl w:val="0"/>
                <w:numId w:val="12"/>
              </w:numPr>
              <w:spacing w:after="0"/>
              <w:jc w:val="both"/>
              <w:rPr>
                <w:rFonts w:ascii="Times New Roman" w:hAnsi="Times New Roman"/>
                <w:strike/>
                <w:sz w:val="24"/>
                <w:szCs w:val="24"/>
              </w:rPr>
            </w:pPr>
            <w:r w:rsidRPr="00DC4B5C">
              <w:rPr>
                <w:rFonts w:ascii="Times New Roman" w:hAnsi="Times New Roman"/>
                <w:sz w:val="24"/>
                <w:szCs w:val="24"/>
              </w:rPr>
              <w:t>muudes kuludes on kajastatud reservfond ettenägematute väljaminekute tegemiseks (vähemalt 0,5% valla iga-aastase põhitegevuse tulude eelarve kogusummast).</w:t>
            </w:r>
          </w:p>
          <w:p w14:paraId="016439FA" w14:textId="77777777" w:rsidR="00C22B95" w:rsidRPr="00DC4B5C" w:rsidRDefault="00C22B95" w:rsidP="00C22B95">
            <w:pPr>
              <w:spacing w:after="0"/>
              <w:jc w:val="both"/>
              <w:rPr>
                <w:rFonts w:ascii="Times New Roman" w:hAnsi="Times New Roman"/>
                <w:b/>
                <w:bCs/>
                <w:sz w:val="24"/>
                <w:szCs w:val="24"/>
              </w:rPr>
            </w:pPr>
            <w:r w:rsidRPr="00DC4B5C">
              <w:rPr>
                <w:rFonts w:ascii="Times New Roman" w:hAnsi="Times New Roman"/>
                <w:b/>
                <w:bCs/>
                <w:sz w:val="24"/>
                <w:szCs w:val="24"/>
              </w:rPr>
              <w:t>Põhitegevuse kulud suurenevad 2029. aastaks 6,5% võrra u 22,04 miljoni euroni.</w:t>
            </w:r>
            <w:r w:rsidRPr="00DC4B5C">
              <w:rPr>
                <w:rFonts w:ascii="Times New Roman" w:hAnsi="Times New Roman"/>
                <w:sz w:val="24"/>
                <w:szCs w:val="24"/>
              </w:rPr>
              <w:br/>
            </w:r>
          </w:p>
          <w:p w14:paraId="7D10DA0C" w14:textId="77777777" w:rsidR="00C22B95" w:rsidRPr="00DC4B5C" w:rsidRDefault="00C22B95" w:rsidP="00C22B95">
            <w:pPr>
              <w:spacing w:after="0" w:line="240" w:lineRule="auto"/>
              <w:jc w:val="both"/>
              <w:rPr>
                <w:rFonts w:ascii="Times New Roman" w:hAnsi="Times New Roman"/>
                <w:b/>
                <w:bCs/>
                <w:sz w:val="24"/>
                <w:szCs w:val="24"/>
              </w:rPr>
            </w:pPr>
            <w:r w:rsidRPr="00DC4B5C">
              <w:rPr>
                <w:rFonts w:ascii="Times New Roman" w:hAnsi="Times New Roman"/>
                <w:b/>
                <w:bCs/>
                <w:sz w:val="24"/>
                <w:szCs w:val="24"/>
              </w:rPr>
              <w:t xml:space="preserve">Tulem </w:t>
            </w:r>
          </w:p>
          <w:p w14:paraId="0A8A0157" w14:textId="77777777" w:rsidR="00C22B95" w:rsidRPr="00DC4B5C" w:rsidRDefault="00C22B95" w:rsidP="00C22B95">
            <w:pPr>
              <w:spacing w:after="0" w:line="240" w:lineRule="auto"/>
              <w:jc w:val="both"/>
              <w:rPr>
                <w:rFonts w:ascii="Times New Roman" w:hAnsi="Times New Roman"/>
                <w:b/>
                <w:bCs/>
                <w:sz w:val="24"/>
                <w:szCs w:val="24"/>
              </w:rPr>
            </w:pPr>
          </w:p>
          <w:p w14:paraId="6B6212BC" w14:textId="77777777" w:rsidR="00C22B95" w:rsidRPr="00DC4B5C" w:rsidRDefault="00C22B95" w:rsidP="00C22B95">
            <w:pPr>
              <w:spacing w:after="0"/>
              <w:jc w:val="both"/>
              <w:rPr>
                <w:rFonts w:ascii="Times New Roman" w:hAnsi="Times New Roman"/>
                <w:sz w:val="24"/>
                <w:szCs w:val="24"/>
              </w:rPr>
            </w:pPr>
            <w:r w:rsidRPr="00DC4B5C">
              <w:rPr>
                <w:rFonts w:ascii="Times New Roman" w:hAnsi="Times New Roman"/>
                <w:sz w:val="24"/>
                <w:szCs w:val="24"/>
              </w:rPr>
              <w:t xml:space="preserve">Põhitegevuse tulem on põhitegevuse tulude ja põhitegevuse kulude vahe, mille väärtus aruandeaasta lõpu seisuga peab olema null või positiivne. </w:t>
            </w:r>
          </w:p>
          <w:p w14:paraId="2C75B5FA" w14:textId="77777777" w:rsidR="00C22B95" w:rsidRPr="00DC4B5C" w:rsidRDefault="00C22B95" w:rsidP="00C22B95">
            <w:pPr>
              <w:spacing w:after="0"/>
              <w:jc w:val="both"/>
              <w:rPr>
                <w:rFonts w:ascii="Times New Roman" w:hAnsi="Times New Roman"/>
                <w:sz w:val="24"/>
                <w:szCs w:val="24"/>
              </w:rPr>
            </w:pPr>
          </w:p>
          <w:p w14:paraId="3AD2FF14" w14:textId="77777777" w:rsidR="00C22B95" w:rsidRPr="00DC4B5C" w:rsidRDefault="00C22B95" w:rsidP="00C22B95">
            <w:pPr>
              <w:spacing w:after="0"/>
              <w:jc w:val="both"/>
              <w:rPr>
                <w:rFonts w:ascii="Times New Roman" w:hAnsi="Times New Roman"/>
                <w:sz w:val="24"/>
                <w:szCs w:val="24"/>
              </w:rPr>
            </w:pPr>
            <w:r w:rsidRPr="00DC4B5C">
              <w:rPr>
                <w:rFonts w:ascii="Times New Roman" w:hAnsi="Times New Roman"/>
                <w:sz w:val="24"/>
                <w:szCs w:val="24"/>
              </w:rPr>
              <w:t>Eelarvestrateegia perioodil ületab tulud kasv igal aastal kulude kasvu ja tulemi suhe tuludesse kasvab 2029. aastaks 10,3%ni, kuid põhitegevuse tulemi kasv on saavutatav vaid ökonoomsema majandamisega.</w:t>
            </w:r>
          </w:p>
          <w:p w14:paraId="4B907224" w14:textId="77777777" w:rsidR="00C22B95" w:rsidRPr="00DC4B5C" w:rsidRDefault="00C22B95" w:rsidP="00C22B95">
            <w:pPr>
              <w:spacing w:after="0"/>
              <w:jc w:val="both"/>
              <w:rPr>
                <w:rFonts w:ascii="Times New Roman" w:hAnsi="Times New Roman"/>
                <w:sz w:val="24"/>
                <w:szCs w:val="24"/>
              </w:rPr>
            </w:pPr>
          </w:p>
          <w:p w14:paraId="7F779AAD" w14:textId="77777777" w:rsidR="00C22B95" w:rsidRPr="00DC4B5C" w:rsidRDefault="00C22B95" w:rsidP="00C22B95">
            <w:pPr>
              <w:spacing w:after="0"/>
              <w:jc w:val="both"/>
              <w:rPr>
                <w:rFonts w:ascii="Times New Roman" w:hAnsi="Times New Roman"/>
                <w:b/>
                <w:bCs/>
                <w:sz w:val="24"/>
                <w:szCs w:val="24"/>
              </w:rPr>
            </w:pPr>
            <w:r w:rsidRPr="00DC4B5C">
              <w:rPr>
                <w:rFonts w:ascii="Times New Roman" w:hAnsi="Times New Roman"/>
                <w:b/>
                <w:bCs/>
                <w:sz w:val="24"/>
                <w:szCs w:val="24"/>
              </w:rPr>
              <w:t xml:space="preserve">Strateegia üheks eesmärgiks on põhitegevuse tulude-kulude ülejäägi  saavutamine võimalikult suurel määral, sest see on eelduseks valla investeerimisvõimekuse säilimisele ja kasvule. </w:t>
            </w:r>
          </w:p>
          <w:p w14:paraId="2A75E99E" w14:textId="77777777" w:rsidR="00C22B95" w:rsidRPr="00DC4B5C" w:rsidRDefault="00C22B95" w:rsidP="00C22B95">
            <w:pPr>
              <w:spacing w:after="0"/>
              <w:jc w:val="both"/>
              <w:rPr>
                <w:rFonts w:ascii="Times New Roman" w:hAnsi="Times New Roman"/>
                <w:sz w:val="24"/>
                <w:szCs w:val="24"/>
              </w:rPr>
            </w:pPr>
          </w:p>
          <w:p w14:paraId="0890152A" w14:textId="77777777" w:rsidR="00C22B95" w:rsidRPr="00DC4B5C" w:rsidRDefault="00C22B95" w:rsidP="00C22B95">
            <w:pPr>
              <w:spacing w:after="0" w:line="240" w:lineRule="auto"/>
              <w:jc w:val="both"/>
              <w:rPr>
                <w:rFonts w:ascii="Times New Roman" w:hAnsi="Times New Roman"/>
                <w:b/>
                <w:sz w:val="24"/>
                <w:szCs w:val="24"/>
              </w:rPr>
            </w:pPr>
            <w:r w:rsidRPr="00DC4B5C">
              <w:rPr>
                <w:rFonts w:ascii="Times New Roman" w:hAnsi="Times New Roman"/>
                <w:b/>
                <w:sz w:val="24"/>
                <w:szCs w:val="24"/>
              </w:rPr>
              <w:t>Investeeringud</w:t>
            </w:r>
          </w:p>
          <w:p w14:paraId="1A8899AB" w14:textId="77777777" w:rsidR="00C22B95" w:rsidRPr="00DC4B5C" w:rsidRDefault="00C22B95" w:rsidP="00C22B95">
            <w:pPr>
              <w:spacing w:after="0"/>
              <w:jc w:val="both"/>
              <w:rPr>
                <w:rFonts w:ascii="Times New Roman" w:hAnsi="Times New Roman"/>
                <w:sz w:val="24"/>
                <w:szCs w:val="24"/>
              </w:rPr>
            </w:pPr>
            <w:r w:rsidRPr="00DC4B5C">
              <w:rPr>
                <w:rFonts w:ascii="Times New Roman" w:hAnsi="Times New Roman"/>
                <w:b/>
                <w:sz w:val="24"/>
                <w:szCs w:val="24"/>
              </w:rPr>
              <w:br/>
            </w:r>
            <w:r w:rsidRPr="00DC4B5C">
              <w:rPr>
                <w:rFonts w:ascii="Times New Roman" w:hAnsi="Times New Roman"/>
                <w:b/>
                <w:bCs/>
                <w:sz w:val="24"/>
                <w:szCs w:val="24"/>
              </w:rPr>
              <w:t>Investeerimistegevuse</w:t>
            </w:r>
            <w:r w:rsidRPr="00DC4B5C">
              <w:rPr>
                <w:rFonts w:ascii="Times New Roman" w:hAnsi="Times New Roman"/>
                <w:sz w:val="24"/>
                <w:szCs w:val="24"/>
              </w:rPr>
              <w:t xml:space="preserve"> eelarve koosneb investeerimistegevuse tuludest ja kuludest. </w:t>
            </w:r>
            <w:r w:rsidRPr="00DC4B5C">
              <w:rPr>
                <w:rFonts w:ascii="Times New Roman" w:hAnsi="Times New Roman"/>
                <w:b/>
                <w:bCs/>
                <w:sz w:val="24"/>
                <w:szCs w:val="24"/>
              </w:rPr>
              <w:t>Tuludeks</w:t>
            </w:r>
            <w:r w:rsidRPr="00DC4B5C">
              <w:rPr>
                <w:rFonts w:ascii="Times New Roman" w:hAnsi="Times New Roman"/>
                <w:sz w:val="24"/>
                <w:szCs w:val="24"/>
              </w:rPr>
              <w:t xml:space="preserve"> on põhivara müük, saadavad toetused põhivara soetuseks, osaluste ning muude aktsiate müük ja finantstulud. </w:t>
            </w:r>
            <w:r w:rsidRPr="00DC4B5C">
              <w:rPr>
                <w:rFonts w:ascii="Times New Roman" w:hAnsi="Times New Roman"/>
                <w:b/>
                <w:bCs/>
                <w:sz w:val="24"/>
                <w:szCs w:val="24"/>
              </w:rPr>
              <w:t>Kuludeks</w:t>
            </w:r>
            <w:r w:rsidRPr="00DC4B5C">
              <w:rPr>
                <w:rFonts w:ascii="Times New Roman" w:hAnsi="Times New Roman"/>
                <w:sz w:val="24"/>
                <w:szCs w:val="24"/>
              </w:rPr>
              <w:t xml:space="preserve"> on põhivara soetus, põhivara soetuseks antav sihtfinantseerimine, osaluste ning muude aktsiate soetus, antavad laenud ja finantskulud.</w:t>
            </w:r>
          </w:p>
          <w:p w14:paraId="057BEB73" w14:textId="77777777" w:rsidR="00C22B95" w:rsidRPr="00DC4B5C" w:rsidRDefault="00C22B95" w:rsidP="00C22B95">
            <w:pPr>
              <w:spacing w:after="0"/>
              <w:jc w:val="both"/>
              <w:rPr>
                <w:rFonts w:ascii="Times New Roman" w:hAnsi="Times New Roman"/>
                <w:sz w:val="24"/>
                <w:szCs w:val="24"/>
              </w:rPr>
            </w:pPr>
          </w:p>
          <w:p w14:paraId="7E044256" w14:textId="77777777" w:rsidR="00C22B95" w:rsidRPr="00DC4B5C" w:rsidRDefault="00C22B95" w:rsidP="00C22B95">
            <w:pPr>
              <w:spacing w:after="0"/>
              <w:jc w:val="both"/>
              <w:rPr>
                <w:rFonts w:ascii="Times New Roman" w:hAnsi="Times New Roman"/>
                <w:sz w:val="24"/>
                <w:szCs w:val="24"/>
              </w:rPr>
            </w:pPr>
            <w:r w:rsidRPr="00DC4B5C">
              <w:rPr>
                <w:rFonts w:ascii="Times New Roman" w:hAnsi="Times New Roman"/>
                <w:sz w:val="24"/>
                <w:szCs w:val="24"/>
              </w:rPr>
              <w:t>Eelarvestrateegias esitatud investeerimisobjektide maksumused on hinnangulised, mis sõltuvad ehitusturu olukorrast ja tulevikus aset leidvatest muutustest ning võimalustest investeeringuteks kaasata struktuurifondide/toetuste vahendeid.</w:t>
            </w:r>
          </w:p>
          <w:p w14:paraId="0471D9DA" w14:textId="77777777" w:rsidR="00C22B95" w:rsidRPr="00DC4B5C" w:rsidRDefault="00C22B95" w:rsidP="00C22B95">
            <w:pPr>
              <w:spacing w:after="0"/>
              <w:jc w:val="both"/>
              <w:rPr>
                <w:rFonts w:ascii="Times New Roman" w:hAnsi="Times New Roman"/>
                <w:sz w:val="24"/>
                <w:szCs w:val="24"/>
              </w:rPr>
            </w:pPr>
          </w:p>
          <w:p w14:paraId="1EBF365F" w14:textId="77777777" w:rsidR="00C22B95" w:rsidRPr="00DC4B5C" w:rsidRDefault="00C22B95" w:rsidP="00C22B95">
            <w:pPr>
              <w:spacing w:after="0"/>
              <w:jc w:val="both"/>
              <w:rPr>
                <w:rFonts w:ascii="Times New Roman" w:hAnsi="Times New Roman"/>
                <w:sz w:val="24"/>
                <w:szCs w:val="24"/>
              </w:rPr>
            </w:pPr>
            <w:r w:rsidRPr="00DC4B5C">
              <w:rPr>
                <w:rFonts w:ascii="Times New Roman" w:hAnsi="Times New Roman"/>
                <w:sz w:val="24"/>
                <w:szCs w:val="24"/>
              </w:rPr>
              <w:t xml:space="preserve">Investeeringute finantseerimiseks on kolm allikat: omavahendid, laenud ning toetused. </w:t>
            </w:r>
          </w:p>
          <w:p w14:paraId="28959A81" w14:textId="77777777" w:rsidR="00C22B95" w:rsidRPr="00DC4B5C" w:rsidRDefault="00C22B95" w:rsidP="00C22B95">
            <w:pPr>
              <w:spacing w:after="0"/>
              <w:jc w:val="both"/>
              <w:rPr>
                <w:rFonts w:ascii="Times New Roman" w:hAnsi="Times New Roman"/>
                <w:sz w:val="24"/>
                <w:szCs w:val="24"/>
              </w:rPr>
            </w:pPr>
          </w:p>
          <w:p w14:paraId="0E54FEFD" w14:textId="77777777" w:rsidR="00C22B95" w:rsidRPr="00DC4B5C" w:rsidRDefault="00C22B95" w:rsidP="00C22B95">
            <w:pPr>
              <w:spacing w:after="0"/>
              <w:jc w:val="both"/>
              <w:rPr>
                <w:rFonts w:ascii="Times New Roman" w:hAnsi="Times New Roman"/>
                <w:sz w:val="24"/>
                <w:szCs w:val="24"/>
              </w:rPr>
            </w:pPr>
            <w:r w:rsidRPr="00DC4B5C">
              <w:rPr>
                <w:rFonts w:ascii="Times New Roman" w:hAnsi="Times New Roman"/>
                <w:sz w:val="24"/>
                <w:szCs w:val="24"/>
              </w:rPr>
              <w:t xml:space="preserve">Strateegia vaates eelistatakse nn vältimatuid investeeringuid (elukeskkonna, tervise, liikuvuse </w:t>
            </w:r>
            <w:r w:rsidRPr="00DC4B5C">
              <w:rPr>
                <w:rFonts w:ascii="Times New Roman" w:hAnsi="Times New Roman"/>
                <w:sz w:val="24"/>
                <w:szCs w:val="24"/>
              </w:rPr>
              <w:lastRenderedPageBreak/>
              <w:t>jt inimeste eluliste vajadustega seotud investeeringud), Euroopa Liidu ja siseriiklike toetuste abil tehtavaid investeeringuid ning investeeringuid, mis võimaldavad kokkuhoidu.</w:t>
            </w:r>
          </w:p>
          <w:p w14:paraId="6DC6E542" w14:textId="77777777" w:rsidR="00C22B95" w:rsidRPr="00DC4B5C" w:rsidRDefault="00C22B95" w:rsidP="00C22B95">
            <w:pPr>
              <w:spacing w:after="0"/>
              <w:jc w:val="both"/>
              <w:rPr>
                <w:rFonts w:ascii="Times New Roman" w:hAnsi="Times New Roman"/>
                <w:sz w:val="24"/>
                <w:szCs w:val="24"/>
              </w:rPr>
            </w:pPr>
          </w:p>
          <w:p w14:paraId="0255FB68" w14:textId="77777777" w:rsidR="00C22B95" w:rsidRDefault="00C22B95" w:rsidP="00C22B95">
            <w:pPr>
              <w:spacing w:after="0"/>
              <w:jc w:val="both"/>
              <w:rPr>
                <w:rFonts w:ascii="Times New Roman" w:hAnsi="Times New Roman"/>
                <w:sz w:val="24"/>
                <w:szCs w:val="24"/>
              </w:rPr>
            </w:pPr>
            <w:r w:rsidRPr="00DC4B5C">
              <w:rPr>
                <w:rFonts w:ascii="Times New Roman" w:hAnsi="Times New Roman"/>
                <w:b/>
                <w:bCs/>
                <w:sz w:val="24"/>
                <w:szCs w:val="24"/>
              </w:rPr>
              <w:t>Investeerimistegevuse</w:t>
            </w:r>
            <w:r w:rsidRPr="00DC4B5C">
              <w:rPr>
                <w:rFonts w:ascii="Times New Roman" w:hAnsi="Times New Roman"/>
                <w:sz w:val="24"/>
                <w:szCs w:val="24"/>
              </w:rPr>
              <w:t xml:space="preserve"> eelarve koosneb investeerimistegevuse tuludest ja kuludest. </w:t>
            </w:r>
          </w:p>
          <w:p w14:paraId="379A83F2" w14:textId="77777777" w:rsidR="00C22B95" w:rsidRDefault="00C22B95" w:rsidP="00C22B95">
            <w:pPr>
              <w:spacing w:after="0"/>
              <w:jc w:val="both"/>
              <w:rPr>
                <w:rFonts w:ascii="Times New Roman" w:hAnsi="Times New Roman"/>
                <w:sz w:val="24"/>
                <w:szCs w:val="24"/>
              </w:rPr>
            </w:pPr>
          </w:p>
          <w:p w14:paraId="3DC4B97A" w14:textId="77777777" w:rsidR="00C22B95" w:rsidRPr="00DC4B5C" w:rsidRDefault="00C22B95" w:rsidP="00C22B95">
            <w:pPr>
              <w:spacing w:after="0"/>
              <w:jc w:val="both"/>
              <w:rPr>
                <w:rFonts w:ascii="Times New Roman" w:hAnsi="Times New Roman"/>
                <w:sz w:val="24"/>
                <w:szCs w:val="24"/>
              </w:rPr>
            </w:pPr>
            <w:r w:rsidRPr="00DC4B5C">
              <w:rPr>
                <w:rFonts w:ascii="Times New Roman" w:hAnsi="Times New Roman"/>
                <w:b/>
                <w:bCs/>
                <w:sz w:val="24"/>
                <w:szCs w:val="24"/>
              </w:rPr>
              <w:t>Tuludeks</w:t>
            </w:r>
            <w:r w:rsidRPr="00DC4B5C">
              <w:rPr>
                <w:rFonts w:ascii="Times New Roman" w:hAnsi="Times New Roman"/>
                <w:sz w:val="24"/>
                <w:szCs w:val="24"/>
              </w:rPr>
              <w:t xml:space="preserve"> on põhivara müük, saadavad toetused põhivara soetuseks, osaluste ning muude aktsiate müük ja finantstulud. </w:t>
            </w:r>
            <w:r w:rsidRPr="00DC4B5C">
              <w:rPr>
                <w:rFonts w:ascii="Times New Roman" w:hAnsi="Times New Roman"/>
                <w:b/>
                <w:bCs/>
                <w:sz w:val="24"/>
                <w:szCs w:val="24"/>
              </w:rPr>
              <w:t>Kuludeks</w:t>
            </w:r>
            <w:r w:rsidRPr="00DC4B5C">
              <w:rPr>
                <w:rFonts w:ascii="Times New Roman" w:hAnsi="Times New Roman"/>
                <w:sz w:val="24"/>
                <w:szCs w:val="24"/>
              </w:rPr>
              <w:t xml:space="preserve"> on põhivara soetus, põhivara soetuseks antav sihtfinantseerimine, osaluste ning muude aktsiate soetus, antavad laenud ja finantskulud.</w:t>
            </w:r>
          </w:p>
          <w:p w14:paraId="3F0C50A4" w14:textId="77777777" w:rsidR="00C22B95" w:rsidRPr="00DC4B5C" w:rsidRDefault="00C22B95" w:rsidP="00C22B95">
            <w:pPr>
              <w:spacing w:after="0"/>
              <w:jc w:val="both"/>
              <w:rPr>
                <w:rFonts w:ascii="Times New Roman" w:hAnsi="Times New Roman"/>
                <w:sz w:val="24"/>
                <w:szCs w:val="24"/>
              </w:rPr>
            </w:pPr>
          </w:p>
          <w:p w14:paraId="567E7CD1" w14:textId="77777777" w:rsidR="00C22B95" w:rsidRPr="00DC4B5C" w:rsidRDefault="00C22B95" w:rsidP="00C22B95">
            <w:pPr>
              <w:spacing w:after="0"/>
              <w:jc w:val="both"/>
              <w:rPr>
                <w:rFonts w:ascii="Times New Roman" w:hAnsi="Times New Roman"/>
                <w:sz w:val="24"/>
                <w:szCs w:val="24"/>
              </w:rPr>
            </w:pPr>
            <w:r w:rsidRPr="00DC4B5C">
              <w:rPr>
                <w:rFonts w:ascii="Times New Roman" w:hAnsi="Times New Roman"/>
                <w:sz w:val="24"/>
                <w:szCs w:val="24"/>
              </w:rPr>
              <w:t>Eelarvestrateegias esitatud investeerimisobjektide maksumused on hinnangulised, mis sõltuvad ehitusturu olukorrast ja tulevikus aset leidvatest muutustest ning võimalustest investeeringuteks kaasata struktuurifondide/toetuste vahendeid.</w:t>
            </w:r>
          </w:p>
          <w:p w14:paraId="4D874494" w14:textId="77777777" w:rsidR="00C22B95" w:rsidRPr="00DC4B5C" w:rsidRDefault="00C22B95" w:rsidP="00C22B95">
            <w:pPr>
              <w:spacing w:after="0"/>
              <w:jc w:val="both"/>
              <w:rPr>
                <w:rFonts w:ascii="Times New Roman" w:hAnsi="Times New Roman"/>
                <w:sz w:val="24"/>
                <w:szCs w:val="24"/>
              </w:rPr>
            </w:pPr>
          </w:p>
          <w:p w14:paraId="595EB5C2" w14:textId="77777777" w:rsidR="00C22B95" w:rsidRPr="00DC4B5C" w:rsidRDefault="00C22B95" w:rsidP="00C22B95">
            <w:pPr>
              <w:spacing w:after="0"/>
              <w:jc w:val="both"/>
              <w:rPr>
                <w:rFonts w:ascii="Times New Roman" w:hAnsi="Times New Roman"/>
                <w:sz w:val="24"/>
                <w:szCs w:val="24"/>
              </w:rPr>
            </w:pPr>
            <w:r w:rsidRPr="00DC4B5C">
              <w:rPr>
                <w:rFonts w:ascii="Times New Roman" w:hAnsi="Times New Roman"/>
                <w:sz w:val="24"/>
                <w:szCs w:val="24"/>
              </w:rPr>
              <w:t xml:space="preserve">Investeeringute finantseerimiseks on kolm allikat: omavahendid, laenud ning toetused. </w:t>
            </w:r>
          </w:p>
          <w:p w14:paraId="216FC512" w14:textId="77777777" w:rsidR="00C22B95" w:rsidRPr="00DC4B5C" w:rsidRDefault="00C22B95" w:rsidP="00C22B95">
            <w:pPr>
              <w:spacing w:after="0"/>
              <w:jc w:val="both"/>
              <w:rPr>
                <w:rFonts w:ascii="Times New Roman" w:hAnsi="Times New Roman"/>
                <w:sz w:val="24"/>
                <w:szCs w:val="24"/>
              </w:rPr>
            </w:pPr>
          </w:p>
          <w:p w14:paraId="57E8051A" w14:textId="77777777" w:rsidR="00C22B95" w:rsidRDefault="00C22B95" w:rsidP="00C22B95">
            <w:pPr>
              <w:spacing w:after="0"/>
              <w:jc w:val="both"/>
              <w:rPr>
                <w:rFonts w:ascii="Times New Roman" w:hAnsi="Times New Roman"/>
                <w:sz w:val="24"/>
                <w:szCs w:val="24"/>
              </w:rPr>
            </w:pPr>
            <w:r w:rsidRPr="00DC4B5C">
              <w:rPr>
                <w:rFonts w:ascii="Times New Roman" w:hAnsi="Times New Roman"/>
                <w:sz w:val="24"/>
                <w:szCs w:val="24"/>
              </w:rPr>
              <w:t>Strateegia vaates eelistatakse nn vältimatuid investeeringuid (elukeskkonna, tervise, liikuvuse jt inimeste eluliste vajadustega seotud investeeringud), Euroopa Liidu ja siseriiklike toetuste abil tehtavaid investeeringuid ning investeeringuid, mis võimaldavad kokkuhoidu.</w:t>
            </w:r>
          </w:p>
          <w:p w14:paraId="7B188DCF" w14:textId="77777777" w:rsidR="00C22B95" w:rsidRPr="00DC4B5C" w:rsidRDefault="00C22B95" w:rsidP="00C22B95">
            <w:pPr>
              <w:spacing w:after="0"/>
              <w:jc w:val="both"/>
              <w:rPr>
                <w:rFonts w:ascii="Times New Roman" w:hAnsi="Times New Roman"/>
                <w:sz w:val="24"/>
                <w:szCs w:val="24"/>
              </w:rPr>
            </w:pPr>
          </w:p>
          <w:p w14:paraId="78053675" w14:textId="77777777" w:rsidR="00C22B95" w:rsidRPr="00DC4B5C" w:rsidRDefault="00C22B95" w:rsidP="00C22B95">
            <w:pPr>
              <w:spacing w:after="0"/>
              <w:jc w:val="both"/>
              <w:rPr>
                <w:rFonts w:ascii="Times New Roman" w:hAnsi="Times New Roman"/>
                <w:b/>
                <w:bCs/>
                <w:sz w:val="24"/>
                <w:szCs w:val="24"/>
              </w:rPr>
            </w:pPr>
            <w:r w:rsidRPr="00DC4B5C">
              <w:rPr>
                <w:rFonts w:ascii="Times New Roman" w:hAnsi="Times New Roman"/>
                <w:b/>
                <w:bCs/>
                <w:sz w:val="24"/>
                <w:szCs w:val="24"/>
              </w:rPr>
              <w:t xml:space="preserve">Strateegiaperioodi põhitegevuse tulud suurenevad keskmiselt </w:t>
            </w:r>
            <w:r>
              <w:rPr>
                <w:rFonts w:ascii="Times New Roman" w:hAnsi="Times New Roman"/>
                <w:b/>
                <w:bCs/>
                <w:sz w:val="24"/>
                <w:szCs w:val="24"/>
              </w:rPr>
              <w:t>2,5</w:t>
            </w:r>
            <w:r w:rsidRPr="00DC4B5C">
              <w:rPr>
                <w:rFonts w:ascii="Times New Roman" w:hAnsi="Times New Roman"/>
                <w:b/>
                <w:bCs/>
                <w:sz w:val="24"/>
                <w:szCs w:val="24"/>
              </w:rPr>
              <w:t xml:space="preserve">% ja kulud keskmiselt </w:t>
            </w:r>
            <w:r>
              <w:rPr>
                <w:rFonts w:ascii="Times New Roman" w:hAnsi="Times New Roman"/>
                <w:b/>
                <w:bCs/>
                <w:sz w:val="24"/>
                <w:szCs w:val="24"/>
              </w:rPr>
              <w:t>1,5</w:t>
            </w:r>
            <w:r w:rsidRPr="00DC4B5C">
              <w:rPr>
                <w:rFonts w:ascii="Times New Roman" w:hAnsi="Times New Roman"/>
                <w:b/>
                <w:bCs/>
                <w:sz w:val="24"/>
                <w:szCs w:val="24"/>
              </w:rPr>
              <w:t>% aastas.</w:t>
            </w:r>
          </w:p>
          <w:p w14:paraId="55C97620" w14:textId="67DC36DA" w:rsidR="00E13B6E" w:rsidRDefault="00E13B6E" w:rsidP="00C27542">
            <w:pPr>
              <w:spacing w:after="0" w:line="240" w:lineRule="auto"/>
              <w:jc w:val="both"/>
              <w:rPr>
                <w:rFonts w:ascii="Times New Roman" w:hAnsi="Times New Roman"/>
                <w:sz w:val="24"/>
                <w:szCs w:val="24"/>
              </w:rPr>
            </w:pPr>
          </w:p>
        </w:tc>
      </w:tr>
      <w:tr w:rsidR="00E13B6E" w14:paraId="55C97623" w14:textId="77777777" w:rsidTr="00435C14">
        <w:tc>
          <w:tcPr>
            <w:tcW w:w="9354" w:type="dxa"/>
            <w:gridSpan w:val="3"/>
          </w:tcPr>
          <w:p w14:paraId="55C97622" w14:textId="77777777" w:rsidR="00E13B6E" w:rsidRDefault="00E13B6E" w:rsidP="00C27542">
            <w:pPr>
              <w:spacing w:after="0" w:line="240" w:lineRule="auto"/>
              <w:jc w:val="both"/>
              <w:rPr>
                <w:rFonts w:ascii="Times New Roman" w:hAnsi="Times New Roman"/>
                <w:sz w:val="24"/>
                <w:szCs w:val="24"/>
              </w:rPr>
            </w:pPr>
          </w:p>
        </w:tc>
      </w:tr>
      <w:tr w:rsidR="00435C14" w14:paraId="55C97626" w14:textId="77777777" w:rsidTr="005027EC">
        <w:trPr>
          <w:gridAfter w:val="1"/>
          <w:wAfter w:w="145" w:type="dxa"/>
        </w:trPr>
        <w:tc>
          <w:tcPr>
            <w:tcW w:w="3261" w:type="dxa"/>
          </w:tcPr>
          <w:p w14:paraId="55C97624" w14:textId="77777777" w:rsidR="00435C14" w:rsidRDefault="00435C14" w:rsidP="00E13B6E">
            <w:pPr>
              <w:spacing w:after="0" w:line="240" w:lineRule="auto"/>
              <w:jc w:val="both"/>
              <w:rPr>
                <w:rFonts w:ascii="Times New Roman" w:hAnsi="Times New Roman"/>
                <w:sz w:val="24"/>
                <w:szCs w:val="24"/>
              </w:rPr>
            </w:pPr>
            <w:r w:rsidRPr="00E13B6E">
              <w:rPr>
                <w:rFonts w:ascii="Times New Roman" w:hAnsi="Times New Roman"/>
                <w:sz w:val="24"/>
                <w:szCs w:val="24"/>
              </w:rPr>
              <w:t>Eelnõu ja seletuskirja koost</w:t>
            </w:r>
            <w:r>
              <w:rPr>
                <w:rFonts w:ascii="Times New Roman" w:hAnsi="Times New Roman"/>
                <w:sz w:val="24"/>
                <w:szCs w:val="24"/>
              </w:rPr>
              <w:t>aja</w:t>
            </w:r>
          </w:p>
        </w:tc>
        <w:tc>
          <w:tcPr>
            <w:tcW w:w="5948" w:type="dxa"/>
          </w:tcPr>
          <w:p w14:paraId="55C97625" w14:textId="607AF151" w:rsidR="00435C14" w:rsidRDefault="00C22B95" w:rsidP="00E13B6E">
            <w:pPr>
              <w:spacing w:after="0" w:line="240" w:lineRule="auto"/>
              <w:rPr>
                <w:rFonts w:ascii="Times New Roman" w:hAnsi="Times New Roman"/>
                <w:sz w:val="24"/>
                <w:szCs w:val="24"/>
              </w:rPr>
            </w:pPr>
            <w:r w:rsidRPr="00DC4B5C">
              <w:rPr>
                <w:rFonts w:ascii="Times New Roman" w:hAnsi="Times New Roman"/>
                <w:sz w:val="24"/>
                <w:szCs w:val="24"/>
              </w:rPr>
              <w:t>arendusspetsialist Marko Teiva</w:t>
            </w:r>
          </w:p>
        </w:tc>
      </w:tr>
      <w:tr w:rsidR="00435C14" w14:paraId="55C97629" w14:textId="77777777" w:rsidTr="005027EC">
        <w:trPr>
          <w:gridAfter w:val="1"/>
          <w:wAfter w:w="145" w:type="dxa"/>
        </w:trPr>
        <w:tc>
          <w:tcPr>
            <w:tcW w:w="3261" w:type="dxa"/>
          </w:tcPr>
          <w:p w14:paraId="55C97627" w14:textId="77777777" w:rsidR="00435C14" w:rsidRDefault="00435C14" w:rsidP="00E13B6E">
            <w:pPr>
              <w:spacing w:after="0" w:line="240" w:lineRule="auto"/>
              <w:rPr>
                <w:rFonts w:ascii="Times New Roman" w:hAnsi="Times New Roman"/>
                <w:sz w:val="24"/>
                <w:szCs w:val="24"/>
              </w:rPr>
            </w:pPr>
            <w:r w:rsidRPr="00E13B6E">
              <w:rPr>
                <w:rFonts w:ascii="Times New Roman" w:hAnsi="Times New Roman"/>
                <w:sz w:val="24"/>
                <w:szCs w:val="24"/>
              </w:rPr>
              <w:t>Eelnõu esitaja ja ettekandja</w:t>
            </w:r>
          </w:p>
        </w:tc>
        <w:tc>
          <w:tcPr>
            <w:tcW w:w="5948" w:type="dxa"/>
          </w:tcPr>
          <w:p w14:paraId="55C97628" w14:textId="18FC4C21" w:rsidR="00435C14" w:rsidRPr="00C22B95" w:rsidRDefault="00C22B95" w:rsidP="00E13B6E">
            <w:pPr>
              <w:spacing w:after="0" w:line="240" w:lineRule="auto"/>
              <w:rPr>
                <w:rFonts w:ascii="Times New Roman" w:hAnsi="Times New Roman"/>
                <w:b/>
                <w:bCs/>
                <w:sz w:val="24"/>
                <w:szCs w:val="24"/>
              </w:rPr>
            </w:pPr>
            <w:r w:rsidRPr="00DC4B5C">
              <w:rPr>
                <w:rFonts w:ascii="Times New Roman" w:hAnsi="Times New Roman"/>
                <w:sz w:val="24"/>
                <w:szCs w:val="24"/>
              </w:rPr>
              <w:t>arendusspetsialist Marko Teiva</w:t>
            </w:r>
          </w:p>
        </w:tc>
      </w:tr>
    </w:tbl>
    <w:p w14:paraId="55C9762A" w14:textId="77777777" w:rsidR="00E13B6E" w:rsidRDefault="00E13B6E" w:rsidP="00E13B6E">
      <w:pPr>
        <w:spacing w:after="0" w:line="240" w:lineRule="auto"/>
        <w:rPr>
          <w:rFonts w:ascii="Times New Roman" w:hAnsi="Times New Roman"/>
          <w:sz w:val="24"/>
          <w:szCs w:val="24"/>
        </w:rPr>
      </w:pPr>
    </w:p>
    <w:sectPr w:rsidR="00E13B6E" w:rsidSect="00C27542">
      <w:headerReference w:type="default" r:id="rId7"/>
      <w:footerReference w:type="default" r:id="rId8"/>
      <w:headerReference w:type="first" r:id="rId9"/>
      <w:pgSz w:w="11906" w:h="16838"/>
      <w:pgMar w:top="851" w:right="851" w:bottom="680"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2BF68" w14:textId="77777777" w:rsidR="00140C09" w:rsidRDefault="00140C09" w:rsidP="0058227E">
      <w:pPr>
        <w:spacing w:after="0" w:line="240" w:lineRule="auto"/>
      </w:pPr>
      <w:r>
        <w:separator/>
      </w:r>
    </w:p>
  </w:endnote>
  <w:endnote w:type="continuationSeparator" w:id="0">
    <w:p w14:paraId="439FF7A7" w14:textId="77777777" w:rsidR="00140C09" w:rsidRDefault="00140C09" w:rsidP="00582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97632" w14:textId="77777777" w:rsidR="0058227E" w:rsidRPr="0058227E" w:rsidRDefault="0058227E" w:rsidP="0058227E">
    <w:pPr>
      <w:pStyle w:val="Jalus"/>
      <w:jc w:val="right"/>
    </w:pPr>
    <w:r w:rsidRPr="0058227E">
      <w:rPr>
        <w:rFonts w:ascii="Times New Roman" w:hAnsi="Times New Roman"/>
        <w:sz w:val="24"/>
      </w:rPr>
      <w:fldChar w:fldCharType="begin"/>
    </w:r>
    <w:r w:rsidRPr="0058227E">
      <w:rPr>
        <w:rFonts w:ascii="Times New Roman" w:hAnsi="Times New Roman"/>
        <w:sz w:val="24"/>
      </w:rPr>
      <w:instrText>PAGE   \* MERGEFORMAT</w:instrText>
    </w:r>
    <w:r w:rsidRPr="0058227E">
      <w:rPr>
        <w:rFonts w:ascii="Times New Roman" w:hAnsi="Times New Roman"/>
        <w:sz w:val="24"/>
      </w:rPr>
      <w:fldChar w:fldCharType="separate"/>
    </w:r>
    <w:r w:rsidR="001B096F">
      <w:rPr>
        <w:rFonts w:ascii="Times New Roman" w:hAnsi="Times New Roman"/>
        <w:noProof/>
        <w:sz w:val="24"/>
      </w:rPr>
      <w:t>2</w:t>
    </w:r>
    <w:r w:rsidRPr="0058227E">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824CB" w14:textId="77777777" w:rsidR="00140C09" w:rsidRDefault="00140C09" w:rsidP="0058227E">
      <w:pPr>
        <w:spacing w:after="0" w:line="240" w:lineRule="auto"/>
      </w:pPr>
      <w:r>
        <w:separator/>
      </w:r>
    </w:p>
  </w:footnote>
  <w:footnote w:type="continuationSeparator" w:id="0">
    <w:p w14:paraId="13910E3C" w14:textId="77777777" w:rsidR="00140C09" w:rsidRDefault="00140C09" w:rsidP="00582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9762F" w14:textId="77777777" w:rsidR="00C27542" w:rsidRPr="00940B98" w:rsidRDefault="00C27542" w:rsidP="00C27542">
    <w:pPr>
      <w:pStyle w:val="Pis"/>
      <w:jc w:val="right"/>
      <w:rPr>
        <w:rFonts w:ascii="Times New Roman" w:hAnsi="Times New Roman"/>
        <w:b/>
        <w:color w:val="808080" w:themeColor="background1" w:themeShade="80"/>
        <w:spacing w:val="20"/>
        <w:sz w:val="24"/>
        <w:szCs w:val="24"/>
      </w:rPr>
    </w:pPr>
    <w:r w:rsidRPr="00940B98">
      <w:rPr>
        <w:rFonts w:ascii="Times New Roman" w:hAnsi="Times New Roman"/>
        <w:b/>
        <w:color w:val="808080" w:themeColor="background1" w:themeShade="80"/>
        <w:spacing w:val="20"/>
        <w:sz w:val="24"/>
        <w:szCs w:val="24"/>
      </w:rPr>
      <w:t>EELNÕU</w:t>
    </w:r>
  </w:p>
  <w:p w14:paraId="55C97631" w14:textId="2FD93F7B" w:rsidR="00DB4C26" w:rsidRPr="00DB4C26" w:rsidRDefault="00DB4C26" w:rsidP="00DB4C26">
    <w:pPr>
      <w:spacing w:after="0" w:line="240" w:lineRule="auto"/>
      <w:jc w:val="right"/>
      <w:rPr>
        <w:rFonts w:ascii="Verdana" w:hAnsi="Verdan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97633" w14:textId="77777777" w:rsidR="0058227E" w:rsidRDefault="00030487" w:rsidP="0058227E">
    <w:pPr>
      <w:pStyle w:val="Pis"/>
      <w:jc w:val="center"/>
      <w:rPr>
        <w:sz w:val="10"/>
        <w:szCs w:val="10"/>
      </w:rPr>
    </w:pPr>
    <w:r>
      <w:rPr>
        <w:noProof/>
        <w:lang w:eastAsia="et-EE"/>
      </w:rPr>
      <mc:AlternateContent>
        <mc:Choice Requires="wps">
          <w:drawing>
            <wp:anchor distT="0" distB="0" distL="114300" distR="114300" simplePos="0" relativeHeight="251659264" behindDoc="0" locked="0" layoutInCell="1" allowOverlap="1" wp14:anchorId="55C9763E" wp14:editId="55C9763F">
              <wp:simplePos x="0" y="0"/>
              <wp:positionH relativeFrom="column">
                <wp:posOffset>3606165</wp:posOffset>
              </wp:positionH>
              <wp:positionV relativeFrom="paragraph">
                <wp:posOffset>-64770</wp:posOffset>
              </wp:positionV>
              <wp:extent cx="2834640" cy="967740"/>
              <wp:effectExtent l="0" t="0" r="3810" b="3810"/>
              <wp:wrapNone/>
              <wp:docPr id="1"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967740"/>
                      </a:xfrm>
                      <a:prstGeom prst="rect">
                        <a:avLst/>
                      </a:prstGeom>
                      <a:solidFill>
                        <a:srgbClr val="FFFFFF"/>
                      </a:solidFill>
                      <a:ln w="9525">
                        <a:noFill/>
                        <a:miter lim="800000"/>
                        <a:headEnd/>
                        <a:tailEnd/>
                      </a:ln>
                    </wps:spPr>
                    <wps:txbx>
                      <w:txbxContent>
                        <w:p w14:paraId="55C97644" w14:textId="0BBA399A" w:rsidR="008C3218" w:rsidRPr="0058227E" w:rsidRDefault="008C3218" w:rsidP="008C3218">
                          <w:pPr>
                            <w:spacing w:after="0" w:line="240" w:lineRule="auto"/>
                            <w:rPr>
                              <w:rFonts w:ascii="Verdana" w:hAnsi="Verdana"/>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C9763E" id="_x0000_t202" coordsize="21600,21600" o:spt="202" path="m,l,21600r21600,l21600,xe">
              <v:stroke joinstyle="miter"/>
              <v:path gradientshapeok="t" o:connecttype="rect"/>
            </v:shapetype>
            <v:shape id="Tekstiväli 2" o:spid="_x0000_s1026" type="#_x0000_t202" style="position:absolute;left:0;text-align:left;margin-left:283.95pt;margin-top:-5.1pt;width:223.2pt;height:7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" stroked="f">
              <v:textbox>
                <w:txbxContent>
                  <w:p w14:paraId="55C97644" w14:textId="0BBA399A" w:rsidR="008C3218" w:rsidRPr="0058227E" w:rsidRDefault="008C3218" w:rsidP="008C3218">
                    <w:pPr>
                      <w:spacing w:after="0" w:line="240" w:lineRule="auto"/>
                      <w:rPr>
                        <w:rFonts w:ascii="Verdana" w:hAnsi="Verdana"/>
                        <w:sz w:val="16"/>
                        <w:szCs w:val="16"/>
                      </w:rPr>
                    </w:pPr>
                  </w:p>
                </w:txbxContent>
              </v:textbox>
            </v:shape>
          </w:pict>
        </mc:Fallback>
      </mc:AlternateContent>
    </w:r>
  </w:p>
  <w:p w14:paraId="55C97634" w14:textId="77777777" w:rsidR="0058227E" w:rsidRDefault="0058227E" w:rsidP="0058227E">
    <w:pPr>
      <w:pStyle w:val="Pis"/>
      <w:jc w:val="center"/>
      <w:rPr>
        <w:sz w:val="10"/>
        <w:szCs w:val="10"/>
      </w:rPr>
    </w:pPr>
  </w:p>
  <w:p w14:paraId="55C97635" w14:textId="77777777" w:rsidR="008D4DA5" w:rsidRDefault="008D4DA5" w:rsidP="0058227E">
    <w:pPr>
      <w:pStyle w:val="Pis"/>
      <w:jc w:val="center"/>
      <w:rPr>
        <w:sz w:val="10"/>
        <w:szCs w:val="10"/>
      </w:rPr>
    </w:pPr>
  </w:p>
  <w:p w14:paraId="55C97636" w14:textId="77777777" w:rsidR="008D4DA5" w:rsidRDefault="008D4DA5" w:rsidP="0058227E">
    <w:pPr>
      <w:pStyle w:val="Pis"/>
      <w:jc w:val="center"/>
      <w:rPr>
        <w:sz w:val="10"/>
        <w:szCs w:val="10"/>
      </w:rPr>
    </w:pPr>
  </w:p>
  <w:p w14:paraId="55C97637" w14:textId="77777777" w:rsidR="008D4DA5" w:rsidRDefault="008D4DA5" w:rsidP="0058227E">
    <w:pPr>
      <w:pStyle w:val="Pis"/>
      <w:jc w:val="center"/>
      <w:rPr>
        <w:sz w:val="10"/>
        <w:szCs w:val="10"/>
      </w:rPr>
    </w:pPr>
  </w:p>
  <w:p w14:paraId="55C97638" w14:textId="77777777" w:rsidR="008D4DA5" w:rsidRDefault="008D4DA5" w:rsidP="0058227E">
    <w:pPr>
      <w:pStyle w:val="Pis"/>
      <w:jc w:val="center"/>
      <w:rPr>
        <w:sz w:val="10"/>
        <w:szCs w:val="10"/>
      </w:rPr>
    </w:pPr>
  </w:p>
  <w:p w14:paraId="55C97639" w14:textId="77777777" w:rsidR="008D4DA5" w:rsidRDefault="008D4DA5" w:rsidP="0058227E">
    <w:pPr>
      <w:pStyle w:val="Pis"/>
      <w:jc w:val="center"/>
      <w:rPr>
        <w:sz w:val="10"/>
        <w:szCs w:val="10"/>
      </w:rPr>
    </w:pPr>
  </w:p>
  <w:p w14:paraId="55C9763A" w14:textId="77777777" w:rsidR="008D4DA5" w:rsidRDefault="008D4DA5" w:rsidP="0058227E">
    <w:pPr>
      <w:pStyle w:val="Pis"/>
      <w:jc w:val="center"/>
      <w:rPr>
        <w:sz w:val="10"/>
        <w:szCs w:val="10"/>
      </w:rPr>
    </w:pPr>
  </w:p>
  <w:p w14:paraId="55C9763B" w14:textId="77777777" w:rsidR="008D4DA5" w:rsidRDefault="008D4DA5" w:rsidP="0058227E">
    <w:pPr>
      <w:pStyle w:val="Pis"/>
      <w:jc w:val="center"/>
      <w:rPr>
        <w:sz w:val="10"/>
        <w:szCs w:val="10"/>
      </w:rPr>
    </w:pPr>
  </w:p>
  <w:p w14:paraId="55C9763C" w14:textId="77777777" w:rsidR="008D4DA5" w:rsidRDefault="008D4DA5" w:rsidP="0058227E">
    <w:pPr>
      <w:pStyle w:val="Pis"/>
      <w:jc w:val="center"/>
      <w:rPr>
        <w:sz w:val="10"/>
        <w:szCs w:val="10"/>
      </w:rPr>
    </w:pPr>
  </w:p>
  <w:p w14:paraId="55C9763D" w14:textId="77777777" w:rsidR="008D4DA5" w:rsidRPr="0058227E" w:rsidRDefault="008D4DA5" w:rsidP="0058227E">
    <w:pPr>
      <w:pStyle w:val="Pis"/>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53282"/>
    <w:multiLevelType w:val="hybridMultilevel"/>
    <w:tmpl w:val="CA20DD70"/>
    <w:lvl w:ilvl="0" w:tplc="04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7D32BE7"/>
    <w:multiLevelType w:val="hybridMultilevel"/>
    <w:tmpl w:val="0BE6DB4A"/>
    <w:lvl w:ilvl="0" w:tplc="0425000F">
      <w:start w:val="1"/>
      <w:numFmt w:val="decimal"/>
      <w:lvlText w:val="%1."/>
      <w:lvlJc w:val="left"/>
      <w:pPr>
        <w:ind w:left="626" w:hanging="360"/>
      </w:pPr>
    </w:lvl>
    <w:lvl w:ilvl="1" w:tplc="04250019" w:tentative="1">
      <w:start w:val="1"/>
      <w:numFmt w:val="lowerLetter"/>
      <w:lvlText w:val="%2."/>
      <w:lvlJc w:val="left"/>
      <w:pPr>
        <w:ind w:left="1346" w:hanging="360"/>
      </w:pPr>
    </w:lvl>
    <w:lvl w:ilvl="2" w:tplc="0425001B" w:tentative="1">
      <w:start w:val="1"/>
      <w:numFmt w:val="lowerRoman"/>
      <w:lvlText w:val="%3."/>
      <w:lvlJc w:val="right"/>
      <w:pPr>
        <w:ind w:left="2066" w:hanging="180"/>
      </w:pPr>
    </w:lvl>
    <w:lvl w:ilvl="3" w:tplc="0425000F" w:tentative="1">
      <w:start w:val="1"/>
      <w:numFmt w:val="decimal"/>
      <w:lvlText w:val="%4."/>
      <w:lvlJc w:val="left"/>
      <w:pPr>
        <w:ind w:left="2786" w:hanging="360"/>
      </w:pPr>
    </w:lvl>
    <w:lvl w:ilvl="4" w:tplc="04250019" w:tentative="1">
      <w:start w:val="1"/>
      <w:numFmt w:val="lowerLetter"/>
      <w:lvlText w:val="%5."/>
      <w:lvlJc w:val="left"/>
      <w:pPr>
        <w:ind w:left="3506" w:hanging="360"/>
      </w:pPr>
    </w:lvl>
    <w:lvl w:ilvl="5" w:tplc="0425001B" w:tentative="1">
      <w:start w:val="1"/>
      <w:numFmt w:val="lowerRoman"/>
      <w:lvlText w:val="%6."/>
      <w:lvlJc w:val="right"/>
      <w:pPr>
        <w:ind w:left="4226" w:hanging="180"/>
      </w:pPr>
    </w:lvl>
    <w:lvl w:ilvl="6" w:tplc="0425000F" w:tentative="1">
      <w:start w:val="1"/>
      <w:numFmt w:val="decimal"/>
      <w:lvlText w:val="%7."/>
      <w:lvlJc w:val="left"/>
      <w:pPr>
        <w:ind w:left="4946" w:hanging="360"/>
      </w:pPr>
    </w:lvl>
    <w:lvl w:ilvl="7" w:tplc="04250019" w:tentative="1">
      <w:start w:val="1"/>
      <w:numFmt w:val="lowerLetter"/>
      <w:lvlText w:val="%8."/>
      <w:lvlJc w:val="left"/>
      <w:pPr>
        <w:ind w:left="5666" w:hanging="360"/>
      </w:pPr>
    </w:lvl>
    <w:lvl w:ilvl="8" w:tplc="0425001B" w:tentative="1">
      <w:start w:val="1"/>
      <w:numFmt w:val="lowerRoman"/>
      <w:lvlText w:val="%9."/>
      <w:lvlJc w:val="right"/>
      <w:pPr>
        <w:ind w:left="6386" w:hanging="180"/>
      </w:pPr>
    </w:lvl>
  </w:abstractNum>
  <w:abstractNum w:abstractNumId="2" w15:restartNumberingAfterBreak="0">
    <w:nsid w:val="349316F5"/>
    <w:multiLevelType w:val="hybridMultilevel"/>
    <w:tmpl w:val="7F2650BC"/>
    <w:numStyleLink w:val="ImportedStyle1"/>
  </w:abstractNum>
  <w:abstractNum w:abstractNumId="3" w15:restartNumberingAfterBreak="0">
    <w:nsid w:val="48E360AA"/>
    <w:multiLevelType w:val="hybridMultilevel"/>
    <w:tmpl w:val="32069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F1A53A3"/>
    <w:multiLevelType w:val="hybridMultilevel"/>
    <w:tmpl w:val="AB7C2E9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53BA4FC2"/>
    <w:multiLevelType w:val="hybridMultilevel"/>
    <w:tmpl w:val="7940FD0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C19069D"/>
    <w:multiLevelType w:val="hybridMultilevel"/>
    <w:tmpl w:val="FDBCD690"/>
    <w:lvl w:ilvl="0" w:tplc="04090001">
      <w:start w:val="1"/>
      <w:numFmt w:val="bullet"/>
      <w:lvlText w:val=""/>
      <w:lvlJc w:val="left"/>
      <w:pPr>
        <w:ind w:left="283" w:hanging="283"/>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DD86FD4"/>
    <w:multiLevelType w:val="hybridMultilevel"/>
    <w:tmpl w:val="4A32D5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62692BB1"/>
    <w:multiLevelType w:val="hybridMultilevel"/>
    <w:tmpl w:val="9C446A3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66E77CD5"/>
    <w:multiLevelType w:val="hybridMultilevel"/>
    <w:tmpl w:val="52529F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2E87668"/>
    <w:multiLevelType w:val="hybridMultilevel"/>
    <w:tmpl w:val="7F2650BC"/>
    <w:styleLink w:val="ImportedStyle1"/>
    <w:lvl w:ilvl="0" w:tplc="8B28F59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0E0846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ECA1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26316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D4095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D5881A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9C626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1CA46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F68B8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78BD3B20"/>
    <w:multiLevelType w:val="hybridMultilevel"/>
    <w:tmpl w:val="FB987CB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426656394">
    <w:abstractNumId w:val="7"/>
  </w:num>
  <w:num w:numId="2" w16cid:durableId="906112583">
    <w:abstractNumId w:val="9"/>
  </w:num>
  <w:num w:numId="3" w16cid:durableId="1200238315">
    <w:abstractNumId w:val="5"/>
  </w:num>
  <w:num w:numId="4" w16cid:durableId="1149593307">
    <w:abstractNumId w:val="1"/>
  </w:num>
  <w:num w:numId="5" w16cid:durableId="2045406094">
    <w:abstractNumId w:val="11"/>
  </w:num>
  <w:num w:numId="6" w16cid:durableId="2064477503">
    <w:abstractNumId w:val="0"/>
  </w:num>
  <w:num w:numId="7" w16cid:durableId="383910445">
    <w:abstractNumId w:val="3"/>
  </w:num>
  <w:num w:numId="8" w16cid:durableId="1165975623">
    <w:abstractNumId w:val="10"/>
  </w:num>
  <w:num w:numId="9" w16cid:durableId="756093011">
    <w:abstractNumId w:val="2"/>
  </w:num>
  <w:num w:numId="10" w16cid:durableId="1343899019">
    <w:abstractNumId w:val="4"/>
  </w:num>
  <w:num w:numId="11" w16cid:durableId="1431316764">
    <w:abstractNumId w:val="8"/>
  </w:num>
  <w:num w:numId="12" w16cid:durableId="320694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7EC"/>
    <w:rsid w:val="00030487"/>
    <w:rsid w:val="000A706D"/>
    <w:rsid w:val="00105CE0"/>
    <w:rsid w:val="00140C09"/>
    <w:rsid w:val="00193A3F"/>
    <w:rsid w:val="001B096F"/>
    <w:rsid w:val="001C5D78"/>
    <w:rsid w:val="001F4B34"/>
    <w:rsid w:val="00246E88"/>
    <w:rsid w:val="00294DDF"/>
    <w:rsid w:val="002B1191"/>
    <w:rsid w:val="003360B7"/>
    <w:rsid w:val="003568FE"/>
    <w:rsid w:val="003B62E0"/>
    <w:rsid w:val="00435C14"/>
    <w:rsid w:val="00480C46"/>
    <w:rsid w:val="0049397B"/>
    <w:rsid w:val="004A0794"/>
    <w:rsid w:val="004A5012"/>
    <w:rsid w:val="004E55FF"/>
    <w:rsid w:val="005027EC"/>
    <w:rsid w:val="00526606"/>
    <w:rsid w:val="0058227E"/>
    <w:rsid w:val="005A612C"/>
    <w:rsid w:val="005B06A1"/>
    <w:rsid w:val="00603FA4"/>
    <w:rsid w:val="00605EB3"/>
    <w:rsid w:val="0061353D"/>
    <w:rsid w:val="0062734B"/>
    <w:rsid w:val="00646951"/>
    <w:rsid w:val="006F7490"/>
    <w:rsid w:val="00757FCF"/>
    <w:rsid w:val="007621EB"/>
    <w:rsid w:val="00772CF5"/>
    <w:rsid w:val="00780FC0"/>
    <w:rsid w:val="007B63D2"/>
    <w:rsid w:val="007C3E85"/>
    <w:rsid w:val="007D1DEE"/>
    <w:rsid w:val="007D227C"/>
    <w:rsid w:val="00815C8D"/>
    <w:rsid w:val="0084690A"/>
    <w:rsid w:val="008C3218"/>
    <w:rsid w:val="008D4DA5"/>
    <w:rsid w:val="008D65DE"/>
    <w:rsid w:val="00917A1D"/>
    <w:rsid w:val="00940B98"/>
    <w:rsid w:val="009428D9"/>
    <w:rsid w:val="009D2727"/>
    <w:rsid w:val="00A357CC"/>
    <w:rsid w:val="00A363D2"/>
    <w:rsid w:val="00A43B52"/>
    <w:rsid w:val="00A70750"/>
    <w:rsid w:val="00AA1BB8"/>
    <w:rsid w:val="00AA5077"/>
    <w:rsid w:val="00AB0B37"/>
    <w:rsid w:val="00AF1DE6"/>
    <w:rsid w:val="00B9664E"/>
    <w:rsid w:val="00BC21F8"/>
    <w:rsid w:val="00BD5D4D"/>
    <w:rsid w:val="00C22B95"/>
    <w:rsid w:val="00C27542"/>
    <w:rsid w:val="00C4063A"/>
    <w:rsid w:val="00CD0CFF"/>
    <w:rsid w:val="00DB4C26"/>
    <w:rsid w:val="00E13B6E"/>
    <w:rsid w:val="00E54079"/>
    <w:rsid w:val="00EA2011"/>
    <w:rsid w:val="00EA48CF"/>
    <w:rsid w:val="00EB548E"/>
    <w:rsid w:val="00ED16E3"/>
    <w:rsid w:val="00EE41BE"/>
    <w:rsid w:val="00F77BE4"/>
    <w:rsid w:val="00F9540A"/>
    <w:rsid w:val="00FC1731"/>
    <w:rsid w:val="00FC4D7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975EF"/>
  <w15:docId w15:val="{C8C9DDFA-3381-46B8-B400-840B5FB01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58227E"/>
    <w:pPr>
      <w:tabs>
        <w:tab w:val="center" w:pos="4536"/>
        <w:tab w:val="right" w:pos="9072"/>
      </w:tabs>
      <w:spacing w:after="0" w:line="240" w:lineRule="auto"/>
    </w:pPr>
  </w:style>
  <w:style w:type="character" w:customStyle="1" w:styleId="PisMrk">
    <w:name w:val="Päis Märk"/>
    <w:basedOn w:val="Liguvaikefont"/>
    <w:link w:val="Pis"/>
    <w:uiPriority w:val="99"/>
    <w:rsid w:val="0058227E"/>
  </w:style>
  <w:style w:type="paragraph" w:styleId="Jalus">
    <w:name w:val="footer"/>
    <w:basedOn w:val="Normaallaad"/>
    <w:link w:val="JalusMrk"/>
    <w:uiPriority w:val="99"/>
    <w:unhideWhenUsed/>
    <w:rsid w:val="0058227E"/>
    <w:pPr>
      <w:tabs>
        <w:tab w:val="center" w:pos="4536"/>
        <w:tab w:val="right" w:pos="9072"/>
      </w:tabs>
      <w:spacing w:after="0" w:line="240" w:lineRule="auto"/>
    </w:pPr>
  </w:style>
  <w:style w:type="character" w:customStyle="1" w:styleId="JalusMrk">
    <w:name w:val="Jalus Märk"/>
    <w:basedOn w:val="Liguvaikefont"/>
    <w:link w:val="Jalus"/>
    <w:uiPriority w:val="99"/>
    <w:rsid w:val="0058227E"/>
  </w:style>
  <w:style w:type="paragraph" w:styleId="Jutumullitekst">
    <w:name w:val="Balloon Text"/>
    <w:basedOn w:val="Normaallaad"/>
    <w:link w:val="JutumullitekstMrk"/>
    <w:uiPriority w:val="99"/>
    <w:semiHidden/>
    <w:unhideWhenUsed/>
    <w:rsid w:val="0058227E"/>
    <w:pPr>
      <w:spacing w:after="0" w:line="240" w:lineRule="auto"/>
    </w:pPr>
    <w:rPr>
      <w:rFonts w:ascii="Tahoma" w:hAnsi="Tahoma" w:cs="Tahoma"/>
      <w:sz w:val="16"/>
      <w:szCs w:val="16"/>
    </w:rPr>
  </w:style>
  <w:style w:type="character" w:customStyle="1" w:styleId="JutumullitekstMrk">
    <w:name w:val="Jutumullitekst Märk"/>
    <w:link w:val="Jutumullitekst"/>
    <w:uiPriority w:val="99"/>
    <w:semiHidden/>
    <w:rsid w:val="0058227E"/>
    <w:rPr>
      <w:rFonts w:ascii="Tahoma" w:hAnsi="Tahoma" w:cs="Tahoma"/>
      <w:sz w:val="16"/>
      <w:szCs w:val="16"/>
    </w:rPr>
  </w:style>
  <w:style w:type="table" w:styleId="Kontuurtabel">
    <w:name w:val="Table Grid"/>
    <w:basedOn w:val="Normaaltabel"/>
    <w:uiPriority w:val="59"/>
    <w:rsid w:val="00AA5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772CF5"/>
    <w:pPr>
      <w:ind w:left="720"/>
      <w:contextualSpacing/>
    </w:pPr>
  </w:style>
  <w:style w:type="numbering" w:customStyle="1" w:styleId="ImportedStyle1">
    <w:name w:val="Imported Style 1"/>
    <w:rsid w:val="00C22B95"/>
    <w:pPr>
      <w:numPr>
        <w:numId w:val="8"/>
      </w:numPr>
    </w:pPr>
  </w:style>
  <w:style w:type="paragraph" w:customStyle="1" w:styleId="Body">
    <w:name w:val="Body"/>
    <w:rsid w:val="00C22B95"/>
    <w:pPr>
      <w:pBdr>
        <w:top w:val="nil"/>
        <w:left w:val="nil"/>
        <w:bottom w:val="nil"/>
        <w:right w:val="nil"/>
        <w:between w:val="nil"/>
        <w:bar w:val="nil"/>
      </w:pBdr>
    </w:pPr>
    <w:rPr>
      <w:rFonts w:ascii="Helvetica Neue" w:eastAsia="Helvetica Neue" w:hAnsi="Helvetica Neue" w:cs="Helvetica Neue"/>
      <w:color w:val="000000"/>
      <w:sz w:val="22"/>
      <w:szCs w:val="22"/>
      <w:bdr w:val="nil"/>
      <w:lang w:val="en-US" w:eastAsia="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266974">
      <w:bodyDiv w:val="1"/>
      <w:marLeft w:val="0"/>
      <w:marRight w:val="0"/>
      <w:marTop w:val="0"/>
      <w:marBottom w:val="0"/>
      <w:divBdr>
        <w:top w:val="none" w:sz="0" w:space="0" w:color="auto"/>
        <w:left w:val="none" w:sz="0" w:space="0" w:color="auto"/>
        <w:bottom w:val="none" w:sz="0" w:space="0" w:color="auto"/>
        <w:right w:val="none" w:sz="0" w:space="0" w:color="auto"/>
      </w:divBdr>
    </w:div>
    <w:div w:id="17219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1993</Words>
  <Characters>11560</Characters>
  <Application>Microsoft Office Word</Application>
  <DocSecurity>0</DocSecurity>
  <Lines>96</Lines>
  <Paragraphs>27</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13526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Estelle</dc:creator>
  <cp:lastModifiedBy>Kuido Merits</cp:lastModifiedBy>
  <cp:revision>2</cp:revision>
  <cp:lastPrinted>2019-01-28T08:15:00Z</cp:lastPrinted>
  <dcterms:created xsi:type="dcterms:W3CDTF">2024-11-04T09:03:00Z</dcterms:created>
  <dcterms:modified xsi:type="dcterms:W3CDTF">2024-11-04T09:03:00Z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{Pealkiri}</vt:lpwstr>
  </property>
  <property fmtid="{D5CDD505-2E9C-101B-9397-08002B2CF9AE}" pid="3" name="delta_signerName">
    <vt:lpwstr>{Allkirjastaja1}</vt:lpwstr>
  </property>
  <property fmtid="{D5CDD505-2E9C-101B-9397-08002B2CF9AE}" pid="4" name="delta_signerJobTitle">
    <vt:lpwstr>{Allkirjastaja1 ametinimetus}</vt:lpwstr>
  </property>
  <property fmtid="{D5CDD505-2E9C-101B-9397-08002B2CF9AE}" pid="5" name="delta_signerNameTwo">
    <vt:lpwstr>{Allkirjastaja2}</vt:lpwstr>
  </property>
  <property fmtid="{D5CDD505-2E9C-101B-9397-08002B2CF9AE}" pid="6" name="delta_signerJobTitleTwo">
    <vt:lpwstr>{Allkirjastaja2 ametinimetus}</vt:lpwstr>
  </property>
  <property fmtid="{D5CDD505-2E9C-101B-9397-08002B2CF9AE}" pid="7" name="delta_regDateTime">
    <vt:lpwstr>{Reg_kuupäev}</vt:lpwstr>
  </property>
  <property fmtid="{D5CDD505-2E9C-101B-9397-08002B2CF9AE}" pid="8" name="delta_regNumber">
    <vt:lpwstr>{Viit}</vt:lpwstr>
  </property>
  <property fmtid="{D5CDD505-2E9C-101B-9397-08002B2CF9AE}" pid="9" name="delta_accessRestrictionBeginDate">
    <vt:lpwstr>{Vormistamise_KP}</vt:lpwstr>
  </property>
  <property fmtid="{D5CDD505-2E9C-101B-9397-08002B2CF9AE}" pid="10" name="delta_accessRestrictionEndDate">
    <vt:lpwstr>{Lõpptähtpäev}</vt:lpwstr>
  </property>
  <property fmtid="{D5CDD505-2E9C-101B-9397-08002B2CF9AE}" pid="11" name="delta_accessRestrictionReason">
    <vt:lpwstr>JP_alus</vt:lpwstr>
  </property>
</Properties>
</file>